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253553606" w:displacedByCustomXml="next"/>
    <w:sdt>
      <w:sdtPr>
        <w:id w:val="-473213052"/>
        <w:docPartObj>
          <w:docPartGallery w:val="Cover Pages"/>
          <w:docPartUnique/>
        </w:docPartObj>
      </w:sdtPr>
      <w:sdtEndPr>
        <w:rPr>
          <w:rFonts w:eastAsiaTheme="minorHAnsi"/>
          <w:b/>
          <w:bCs/>
        </w:rPr>
      </w:sdtEndPr>
      <w:sdtContent>
        <w:p w:rsidR="000D154D" w:rsidRDefault="00E73A53" w:rsidP="00E73A53">
          <w:pPr>
            <w:rPr>
              <w:color w:val="4F81BD" w:themeColor="accent1"/>
            </w:rPr>
            <w:sectPr w:rsidR="000D154D" w:rsidSect="00E73A53">
              <w:headerReference w:type="default" r:id="rId10"/>
              <w:footerReference w:type="default" r:id="rId11"/>
              <w:pgSz w:w="15840" w:h="12240" w:orient="landscape"/>
              <w:pgMar w:top="1008" w:right="1440" w:bottom="1008" w:left="1440" w:header="720" w:footer="720" w:gutter="0"/>
              <w:pgNumType w:start="0"/>
              <w:cols w:space="720"/>
              <w:titlePg/>
              <w:docGrid w:linePitch="360"/>
            </w:sectPr>
          </w:pPr>
          <w:r>
            <w:rPr>
              <w:noProof/>
              <w:color w:val="4F81BD" w:themeColor="accent1"/>
            </w:rPr>
            <w:drawing>
              <wp:inline distT="0" distB="0" distL="0" distR="0" wp14:anchorId="363651DF" wp14:editId="5CEF997F">
                <wp:extent cx="8229600" cy="63595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11-0023 CMAP Socioeconomic Inventory Validation and Forecasting Method.jpg"/>
                        <pic:cNvPicPr/>
                      </pic:nvPicPr>
                      <pic:blipFill>
                        <a:blip r:embed="rId12">
                          <a:extLst>
                            <a:ext uri="{28A0092B-C50C-407E-A947-70E740481C1C}">
                              <a14:useLocalDpi xmlns:a14="http://schemas.microsoft.com/office/drawing/2010/main" val="0"/>
                            </a:ext>
                          </a:extLst>
                        </a:blip>
                        <a:stretch>
                          <a:fillRect/>
                        </a:stretch>
                      </pic:blipFill>
                      <pic:spPr>
                        <a:xfrm>
                          <a:off x="0" y="0"/>
                          <a:ext cx="8229600" cy="6359525"/>
                        </a:xfrm>
                        <a:prstGeom prst="rect">
                          <a:avLst/>
                        </a:prstGeom>
                      </pic:spPr>
                    </pic:pic>
                  </a:graphicData>
                </a:graphic>
              </wp:inline>
            </w:drawing>
          </w:r>
        </w:p>
        <w:tbl>
          <w:tblPr>
            <w:tblpPr w:leftFromText="187" w:rightFromText="187" w:horzAnchor="margin" w:tblpXSpec="center" w:tblpYSpec="bottom"/>
            <w:tblW w:w="4000" w:type="pct"/>
            <w:tblLook w:val="04A0" w:firstRow="1" w:lastRow="0" w:firstColumn="1" w:lastColumn="0" w:noHBand="0" w:noVBand="1"/>
          </w:tblPr>
          <w:tblGrid>
            <w:gridCol w:w="10552"/>
          </w:tblGrid>
          <w:tr w:rsidR="000D154D">
            <w:tc>
              <w:tcPr>
                <w:tcW w:w="7672" w:type="dxa"/>
                <w:tcMar>
                  <w:top w:w="216" w:type="dxa"/>
                  <w:left w:w="115" w:type="dxa"/>
                  <w:bottom w:w="216" w:type="dxa"/>
                  <w:right w:w="115" w:type="dxa"/>
                </w:tcMar>
              </w:tcPr>
              <w:p w:rsidR="000D154D" w:rsidRDefault="000D154D" w:rsidP="000D154D">
                <w:pPr>
                  <w:pStyle w:val="NoSpacing"/>
                  <w:rPr>
                    <w:color w:val="4F81BD" w:themeColor="accent1"/>
                  </w:rPr>
                </w:pPr>
              </w:p>
            </w:tc>
          </w:tr>
        </w:tbl>
        <w:p w:rsidR="000D154D" w:rsidRDefault="000D154D"/>
        <w:p w:rsidR="000D154D" w:rsidRDefault="000D154D">
          <w:pPr>
            <w:rPr>
              <w:rFonts w:eastAsiaTheme="minorHAnsi"/>
            </w:rPr>
          </w:pPr>
          <w:r>
            <w:rPr>
              <w:rFonts w:eastAsiaTheme="minorHAnsi"/>
              <w:b/>
              <w:bCs/>
            </w:rPr>
            <w:br w:type="page"/>
          </w:r>
        </w:p>
      </w:sdtContent>
    </w:sdt>
    <w:sdt>
      <w:sdtPr>
        <w:rPr>
          <w:rFonts w:asciiTheme="minorHAnsi" w:eastAsiaTheme="minorHAnsi" w:hAnsiTheme="minorHAnsi" w:cstheme="minorBidi"/>
          <w:b w:val="0"/>
          <w:bCs w:val="0"/>
          <w:color w:val="auto"/>
          <w:sz w:val="22"/>
          <w:szCs w:val="22"/>
        </w:rPr>
        <w:id w:val="321630523"/>
        <w:docPartObj>
          <w:docPartGallery w:val="Table of Contents"/>
          <w:docPartUnique/>
        </w:docPartObj>
      </w:sdtPr>
      <w:sdtEndPr>
        <w:rPr>
          <w:rFonts w:eastAsiaTheme="minorEastAsia"/>
        </w:rPr>
      </w:sdtEndPr>
      <w:sdtContent>
        <w:p w:rsidR="00430A10" w:rsidRDefault="00430A10">
          <w:pPr>
            <w:pStyle w:val="TOCHeading"/>
          </w:pPr>
          <w:r>
            <w:t>Contents</w:t>
          </w:r>
        </w:p>
        <w:p w:rsidR="00373B5E" w:rsidRDefault="00D23A86">
          <w:pPr>
            <w:pStyle w:val="TOC1"/>
            <w:tabs>
              <w:tab w:val="right" w:leader="dot" w:pos="12950"/>
            </w:tabs>
            <w:rPr>
              <w:noProof/>
            </w:rPr>
          </w:pPr>
          <w:r w:rsidRPr="000226C3">
            <w:rPr>
              <w:rFonts w:ascii="Palatino Linotype" w:hAnsi="Palatino Linotype"/>
            </w:rPr>
            <w:fldChar w:fldCharType="begin"/>
          </w:r>
          <w:r w:rsidR="00430A10" w:rsidRPr="000226C3">
            <w:rPr>
              <w:rFonts w:ascii="Palatino Linotype" w:hAnsi="Palatino Linotype"/>
            </w:rPr>
            <w:instrText xml:space="preserve"> TOC \o "1-3" \h \z \u </w:instrText>
          </w:r>
          <w:r w:rsidRPr="000226C3">
            <w:rPr>
              <w:rFonts w:ascii="Palatino Linotype" w:hAnsi="Palatino Linotype"/>
            </w:rPr>
            <w:fldChar w:fldCharType="separate"/>
          </w:r>
          <w:hyperlink w:anchor="_Toc284935548" w:history="1">
            <w:r w:rsidR="00373B5E" w:rsidRPr="00D770CE">
              <w:rPr>
                <w:rStyle w:val="Hyperlink"/>
                <w:rFonts w:ascii="Palatino Linotype" w:hAnsi="Palatino Linotype"/>
                <w:noProof/>
              </w:rPr>
              <w:t>Introduction</w:t>
            </w:r>
            <w:r w:rsidR="00373B5E">
              <w:rPr>
                <w:noProof/>
                <w:webHidden/>
              </w:rPr>
              <w:tab/>
            </w:r>
            <w:r w:rsidR="00373B5E">
              <w:rPr>
                <w:noProof/>
                <w:webHidden/>
              </w:rPr>
              <w:fldChar w:fldCharType="begin"/>
            </w:r>
            <w:r w:rsidR="00373B5E">
              <w:rPr>
                <w:noProof/>
                <w:webHidden/>
              </w:rPr>
              <w:instrText xml:space="preserve"> PAGEREF _Toc284935548 \h </w:instrText>
            </w:r>
            <w:r w:rsidR="00373B5E">
              <w:rPr>
                <w:noProof/>
                <w:webHidden/>
              </w:rPr>
            </w:r>
            <w:r w:rsidR="00373B5E">
              <w:rPr>
                <w:noProof/>
                <w:webHidden/>
              </w:rPr>
              <w:fldChar w:fldCharType="separate"/>
            </w:r>
            <w:r w:rsidR="00373B5E">
              <w:rPr>
                <w:noProof/>
                <w:webHidden/>
              </w:rPr>
              <w:t>3</w:t>
            </w:r>
            <w:r w:rsidR="00373B5E">
              <w:rPr>
                <w:noProof/>
                <w:webHidden/>
              </w:rPr>
              <w:fldChar w:fldCharType="end"/>
            </w:r>
          </w:hyperlink>
        </w:p>
        <w:p w:rsidR="00373B5E" w:rsidRDefault="003344CA">
          <w:pPr>
            <w:pStyle w:val="TOC1"/>
            <w:tabs>
              <w:tab w:val="right" w:leader="dot" w:pos="12950"/>
            </w:tabs>
            <w:rPr>
              <w:noProof/>
            </w:rPr>
          </w:pPr>
          <w:hyperlink w:anchor="_Toc284935549" w:history="1">
            <w:r w:rsidR="00373B5E" w:rsidRPr="00D770CE">
              <w:rPr>
                <w:rStyle w:val="Hyperlink"/>
                <w:rFonts w:ascii="Palatino Linotype" w:hAnsi="Palatino Linotype"/>
                <w:noProof/>
              </w:rPr>
              <w:t>Geography</w:t>
            </w:r>
            <w:r w:rsidR="00373B5E">
              <w:rPr>
                <w:noProof/>
                <w:webHidden/>
              </w:rPr>
              <w:tab/>
            </w:r>
            <w:r w:rsidR="00373B5E">
              <w:rPr>
                <w:noProof/>
                <w:webHidden/>
              </w:rPr>
              <w:fldChar w:fldCharType="begin"/>
            </w:r>
            <w:r w:rsidR="00373B5E">
              <w:rPr>
                <w:noProof/>
                <w:webHidden/>
              </w:rPr>
              <w:instrText xml:space="preserve"> PAGEREF _Toc284935549 \h </w:instrText>
            </w:r>
            <w:r w:rsidR="00373B5E">
              <w:rPr>
                <w:noProof/>
                <w:webHidden/>
              </w:rPr>
            </w:r>
            <w:r w:rsidR="00373B5E">
              <w:rPr>
                <w:noProof/>
                <w:webHidden/>
              </w:rPr>
              <w:fldChar w:fldCharType="separate"/>
            </w:r>
            <w:r w:rsidR="00373B5E">
              <w:rPr>
                <w:noProof/>
                <w:webHidden/>
              </w:rPr>
              <w:t>3</w:t>
            </w:r>
            <w:r w:rsidR="00373B5E">
              <w:rPr>
                <w:noProof/>
                <w:webHidden/>
              </w:rPr>
              <w:fldChar w:fldCharType="end"/>
            </w:r>
          </w:hyperlink>
        </w:p>
        <w:p w:rsidR="00373B5E" w:rsidRDefault="003344CA">
          <w:pPr>
            <w:pStyle w:val="TOC1"/>
            <w:tabs>
              <w:tab w:val="right" w:leader="dot" w:pos="12950"/>
            </w:tabs>
            <w:rPr>
              <w:noProof/>
            </w:rPr>
          </w:pPr>
          <w:hyperlink w:anchor="_Toc284935550" w:history="1">
            <w:r w:rsidR="00373B5E" w:rsidRPr="00D770CE">
              <w:rPr>
                <w:rStyle w:val="Hyperlink"/>
                <w:rFonts w:ascii="Palatino Linotype" w:hAnsi="Palatino Linotype"/>
                <w:noProof/>
              </w:rPr>
              <w:t>Base conditions</w:t>
            </w:r>
            <w:r w:rsidR="00373B5E">
              <w:rPr>
                <w:noProof/>
                <w:webHidden/>
              </w:rPr>
              <w:tab/>
            </w:r>
            <w:r w:rsidR="00373B5E">
              <w:rPr>
                <w:noProof/>
                <w:webHidden/>
              </w:rPr>
              <w:fldChar w:fldCharType="begin"/>
            </w:r>
            <w:r w:rsidR="00373B5E">
              <w:rPr>
                <w:noProof/>
                <w:webHidden/>
              </w:rPr>
              <w:instrText xml:space="preserve"> PAGEREF _Toc284935550 \h </w:instrText>
            </w:r>
            <w:r w:rsidR="00373B5E">
              <w:rPr>
                <w:noProof/>
                <w:webHidden/>
              </w:rPr>
            </w:r>
            <w:r w:rsidR="00373B5E">
              <w:rPr>
                <w:noProof/>
                <w:webHidden/>
              </w:rPr>
              <w:fldChar w:fldCharType="separate"/>
            </w:r>
            <w:r w:rsidR="00373B5E">
              <w:rPr>
                <w:noProof/>
                <w:webHidden/>
              </w:rPr>
              <w:t>5</w:t>
            </w:r>
            <w:r w:rsidR="00373B5E">
              <w:rPr>
                <w:noProof/>
                <w:webHidden/>
              </w:rPr>
              <w:fldChar w:fldCharType="end"/>
            </w:r>
          </w:hyperlink>
        </w:p>
        <w:p w:rsidR="00373B5E" w:rsidRDefault="003344CA">
          <w:pPr>
            <w:pStyle w:val="TOC2"/>
            <w:rPr>
              <w:rFonts w:asciiTheme="minorHAnsi" w:hAnsiTheme="minorHAnsi"/>
            </w:rPr>
          </w:pPr>
          <w:hyperlink w:anchor="_Toc284935551" w:history="1">
            <w:r w:rsidR="00373B5E" w:rsidRPr="00D770CE">
              <w:rPr>
                <w:rStyle w:val="Hyperlink"/>
              </w:rPr>
              <w:t>Base Year (2010) Population Validation</w:t>
            </w:r>
            <w:r w:rsidR="00373B5E">
              <w:rPr>
                <w:webHidden/>
              </w:rPr>
              <w:tab/>
            </w:r>
            <w:r w:rsidR="00373B5E">
              <w:rPr>
                <w:webHidden/>
              </w:rPr>
              <w:fldChar w:fldCharType="begin"/>
            </w:r>
            <w:r w:rsidR="00373B5E">
              <w:rPr>
                <w:webHidden/>
              </w:rPr>
              <w:instrText xml:space="preserve"> PAGEREF _Toc284935551 \h </w:instrText>
            </w:r>
            <w:r w:rsidR="00373B5E">
              <w:rPr>
                <w:webHidden/>
              </w:rPr>
            </w:r>
            <w:r w:rsidR="00373B5E">
              <w:rPr>
                <w:webHidden/>
              </w:rPr>
              <w:fldChar w:fldCharType="separate"/>
            </w:r>
            <w:r w:rsidR="00373B5E">
              <w:rPr>
                <w:webHidden/>
              </w:rPr>
              <w:t>5</w:t>
            </w:r>
            <w:r w:rsidR="00373B5E">
              <w:rPr>
                <w:webHidden/>
              </w:rPr>
              <w:fldChar w:fldCharType="end"/>
            </w:r>
          </w:hyperlink>
        </w:p>
        <w:p w:rsidR="00373B5E" w:rsidRDefault="003344CA">
          <w:pPr>
            <w:pStyle w:val="TOC2"/>
            <w:rPr>
              <w:rFonts w:asciiTheme="minorHAnsi" w:hAnsiTheme="minorHAnsi"/>
            </w:rPr>
          </w:pPr>
          <w:hyperlink w:anchor="_Toc284935552" w:history="1">
            <w:r w:rsidR="00373B5E" w:rsidRPr="00D770CE">
              <w:rPr>
                <w:rStyle w:val="Hyperlink"/>
              </w:rPr>
              <w:t>Base Year (2010) Employment Validation</w:t>
            </w:r>
            <w:r w:rsidR="00373B5E">
              <w:rPr>
                <w:webHidden/>
              </w:rPr>
              <w:tab/>
            </w:r>
            <w:r w:rsidR="00373B5E">
              <w:rPr>
                <w:webHidden/>
              </w:rPr>
              <w:fldChar w:fldCharType="begin"/>
            </w:r>
            <w:r w:rsidR="00373B5E">
              <w:rPr>
                <w:webHidden/>
              </w:rPr>
              <w:instrText xml:space="preserve"> PAGEREF _Toc284935552 \h </w:instrText>
            </w:r>
            <w:r w:rsidR="00373B5E">
              <w:rPr>
                <w:webHidden/>
              </w:rPr>
            </w:r>
            <w:r w:rsidR="00373B5E">
              <w:rPr>
                <w:webHidden/>
              </w:rPr>
              <w:fldChar w:fldCharType="separate"/>
            </w:r>
            <w:r w:rsidR="00373B5E">
              <w:rPr>
                <w:webHidden/>
              </w:rPr>
              <w:t>7</w:t>
            </w:r>
            <w:r w:rsidR="00373B5E">
              <w:rPr>
                <w:webHidden/>
              </w:rPr>
              <w:fldChar w:fldCharType="end"/>
            </w:r>
          </w:hyperlink>
        </w:p>
        <w:p w:rsidR="00373B5E" w:rsidRDefault="003344CA">
          <w:pPr>
            <w:pStyle w:val="TOC1"/>
            <w:tabs>
              <w:tab w:val="right" w:leader="dot" w:pos="12950"/>
            </w:tabs>
            <w:rPr>
              <w:noProof/>
            </w:rPr>
          </w:pPr>
          <w:hyperlink w:anchor="_Toc284935553" w:history="1">
            <w:r w:rsidR="00373B5E" w:rsidRPr="00D770CE">
              <w:rPr>
                <w:rStyle w:val="Hyperlink"/>
                <w:rFonts w:ascii="Palatino Linotype" w:hAnsi="Palatino Linotype"/>
                <w:noProof/>
              </w:rPr>
              <w:t>Forecasting urban activity</w:t>
            </w:r>
            <w:r w:rsidR="00373B5E">
              <w:rPr>
                <w:noProof/>
                <w:webHidden/>
              </w:rPr>
              <w:tab/>
            </w:r>
            <w:r w:rsidR="00373B5E">
              <w:rPr>
                <w:noProof/>
                <w:webHidden/>
              </w:rPr>
              <w:fldChar w:fldCharType="begin"/>
            </w:r>
            <w:r w:rsidR="00373B5E">
              <w:rPr>
                <w:noProof/>
                <w:webHidden/>
              </w:rPr>
              <w:instrText xml:space="preserve"> PAGEREF _Toc284935553 \h </w:instrText>
            </w:r>
            <w:r w:rsidR="00373B5E">
              <w:rPr>
                <w:noProof/>
                <w:webHidden/>
              </w:rPr>
            </w:r>
            <w:r w:rsidR="00373B5E">
              <w:rPr>
                <w:noProof/>
                <w:webHidden/>
              </w:rPr>
              <w:fldChar w:fldCharType="separate"/>
            </w:r>
            <w:r w:rsidR="00373B5E">
              <w:rPr>
                <w:noProof/>
                <w:webHidden/>
              </w:rPr>
              <w:t>8</w:t>
            </w:r>
            <w:r w:rsidR="00373B5E">
              <w:rPr>
                <w:noProof/>
                <w:webHidden/>
              </w:rPr>
              <w:fldChar w:fldCharType="end"/>
            </w:r>
          </w:hyperlink>
        </w:p>
        <w:p w:rsidR="00373B5E" w:rsidRDefault="003344CA">
          <w:pPr>
            <w:pStyle w:val="TOC1"/>
            <w:tabs>
              <w:tab w:val="right" w:leader="dot" w:pos="12950"/>
            </w:tabs>
            <w:rPr>
              <w:noProof/>
            </w:rPr>
          </w:pPr>
          <w:hyperlink w:anchor="_Toc284935554" w:history="1">
            <w:r w:rsidR="00373B5E" w:rsidRPr="00D770CE">
              <w:rPr>
                <w:rStyle w:val="Hyperlink"/>
                <w:rFonts w:ascii="Palatino Linotype" w:hAnsi="Palatino Linotype"/>
                <w:noProof/>
              </w:rPr>
              <w:t>Appendices</w:t>
            </w:r>
            <w:r w:rsidR="00373B5E">
              <w:rPr>
                <w:noProof/>
                <w:webHidden/>
              </w:rPr>
              <w:tab/>
            </w:r>
            <w:r w:rsidR="00373B5E">
              <w:rPr>
                <w:noProof/>
                <w:webHidden/>
              </w:rPr>
              <w:fldChar w:fldCharType="begin"/>
            </w:r>
            <w:r w:rsidR="00373B5E">
              <w:rPr>
                <w:noProof/>
                <w:webHidden/>
              </w:rPr>
              <w:instrText xml:space="preserve"> PAGEREF _Toc284935554 \h </w:instrText>
            </w:r>
            <w:r w:rsidR="00373B5E">
              <w:rPr>
                <w:noProof/>
                <w:webHidden/>
              </w:rPr>
            </w:r>
            <w:r w:rsidR="00373B5E">
              <w:rPr>
                <w:noProof/>
                <w:webHidden/>
              </w:rPr>
              <w:fldChar w:fldCharType="separate"/>
            </w:r>
            <w:r w:rsidR="00373B5E">
              <w:rPr>
                <w:noProof/>
                <w:webHidden/>
              </w:rPr>
              <w:t>11</w:t>
            </w:r>
            <w:r w:rsidR="00373B5E">
              <w:rPr>
                <w:noProof/>
                <w:webHidden/>
              </w:rPr>
              <w:fldChar w:fldCharType="end"/>
            </w:r>
          </w:hyperlink>
        </w:p>
        <w:p w:rsidR="00373B5E" w:rsidRDefault="003344CA">
          <w:pPr>
            <w:pStyle w:val="TOC2"/>
            <w:rPr>
              <w:rFonts w:asciiTheme="minorHAnsi" w:hAnsiTheme="minorHAnsi"/>
            </w:rPr>
          </w:pPr>
          <w:hyperlink w:anchor="_Toc284935555" w:history="1">
            <w:r w:rsidR="00373B5E" w:rsidRPr="00D770CE">
              <w:rPr>
                <w:rStyle w:val="Hyperlink"/>
              </w:rPr>
              <w:t>Appendix A:  2040 modeled regional conditions</w:t>
            </w:r>
            <w:r w:rsidR="00373B5E">
              <w:rPr>
                <w:webHidden/>
              </w:rPr>
              <w:tab/>
            </w:r>
            <w:r w:rsidR="00373B5E">
              <w:rPr>
                <w:webHidden/>
              </w:rPr>
              <w:fldChar w:fldCharType="begin"/>
            </w:r>
            <w:r w:rsidR="00373B5E">
              <w:rPr>
                <w:webHidden/>
              </w:rPr>
              <w:instrText xml:space="preserve"> PAGEREF _Toc284935555 \h </w:instrText>
            </w:r>
            <w:r w:rsidR="00373B5E">
              <w:rPr>
                <w:webHidden/>
              </w:rPr>
            </w:r>
            <w:r w:rsidR="00373B5E">
              <w:rPr>
                <w:webHidden/>
              </w:rPr>
              <w:fldChar w:fldCharType="separate"/>
            </w:r>
            <w:r w:rsidR="00373B5E">
              <w:rPr>
                <w:webHidden/>
              </w:rPr>
              <w:t>12</w:t>
            </w:r>
            <w:r w:rsidR="00373B5E">
              <w:rPr>
                <w:webHidden/>
              </w:rPr>
              <w:fldChar w:fldCharType="end"/>
            </w:r>
          </w:hyperlink>
        </w:p>
        <w:p w:rsidR="00373B5E" w:rsidRDefault="003344CA">
          <w:pPr>
            <w:pStyle w:val="TOC2"/>
            <w:rPr>
              <w:rFonts w:asciiTheme="minorHAnsi" w:hAnsiTheme="minorHAnsi"/>
            </w:rPr>
          </w:pPr>
          <w:hyperlink w:anchor="_Toc284935556" w:history="1">
            <w:r w:rsidR="00373B5E" w:rsidRPr="00D770CE">
              <w:rPr>
                <w:rStyle w:val="Hyperlink"/>
              </w:rPr>
              <w:t>Appendix B:  Brownfield strategy modeling example</w:t>
            </w:r>
            <w:r w:rsidR="00373B5E">
              <w:rPr>
                <w:webHidden/>
              </w:rPr>
              <w:tab/>
            </w:r>
            <w:r w:rsidR="00373B5E">
              <w:rPr>
                <w:webHidden/>
              </w:rPr>
              <w:fldChar w:fldCharType="begin"/>
            </w:r>
            <w:r w:rsidR="00373B5E">
              <w:rPr>
                <w:webHidden/>
              </w:rPr>
              <w:instrText xml:space="preserve"> PAGEREF _Toc284935556 \h </w:instrText>
            </w:r>
            <w:r w:rsidR="00373B5E">
              <w:rPr>
                <w:webHidden/>
              </w:rPr>
            </w:r>
            <w:r w:rsidR="00373B5E">
              <w:rPr>
                <w:webHidden/>
              </w:rPr>
              <w:fldChar w:fldCharType="separate"/>
            </w:r>
            <w:r w:rsidR="00373B5E">
              <w:rPr>
                <w:webHidden/>
              </w:rPr>
              <w:t>13</w:t>
            </w:r>
            <w:r w:rsidR="00373B5E">
              <w:rPr>
                <w:webHidden/>
              </w:rPr>
              <w:fldChar w:fldCharType="end"/>
            </w:r>
          </w:hyperlink>
        </w:p>
        <w:p w:rsidR="00373B5E" w:rsidRDefault="003344CA">
          <w:pPr>
            <w:pStyle w:val="TOC2"/>
            <w:rPr>
              <w:rFonts w:asciiTheme="minorHAnsi" w:hAnsiTheme="minorHAnsi"/>
            </w:rPr>
          </w:pPr>
          <w:hyperlink w:anchor="_Toc284935557" w:history="1">
            <w:r w:rsidR="00373B5E" w:rsidRPr="00D770CE">
              <w:rPr>
                <w:rStyle w:val="Hyperlink"/>
              </w:rPr>
              <w:t>Appendix C:  Urban activity reallocation function example</w:t>
            </w:r>
            <w:r w:rsidR="00373B5E">
              <w:rPr>
                <w:webHidden/>
              </w:rPr>
              <w:tab/>
            </w:r>
            <w:r w:rsidR="00373B5E">
              <w:rPr>
                <w:webHidden/>
              </w:rPr>
              <w:fldChar w:fldCharType="begin"/>
            </w:r>
            <w:r w:rsidR="00373B5E">
              <w:rPr>
                <w:webHidden/>
              </w:rPr>
              <w:instrText xml:space="preserve"> PAGEREF _Toc284935557 \h </w:instrText>
            </w:r>
            <w:r w:rsidR="00373B5E">
              <w:rPr>
                <w:webHidden/>
              </w:rPr>
            </w:r>
            <w:r w:rsidR="00373B5E">
              <w:rPr>
                <w:webHidden/>
              </w:rPr>
              <w:fldChar w:fldCharType="separate"/>
            </w:r>
            <w:r w:rsidR="00373B5E">
              <w:rPr>
                <w:webHidden/>
              </w:rPr>
              <w:t>17</w:t>
            </w:r>
            <w:r w:rsidR="00373B5E">
              <w:rPr>
                <w:webHidden/>
              </w:rPr>
              <w:fldChar w:fldCharType="end"/>
            </w:r>
          </w:hyperlink>
        </w:p>
        <w:p w:rsidR="00373B5E" w:rsidRDefault="003344CA">
          <w:pPr>
            <w:pStyle w:val="TOC2"/>
            <w:rPr>
              <w:rFonts w:asciiTheme="minorHAnsi" w:hAnsiTheme="minorHAnsi"/>
            </w:rPr>
          </w:pPr>
          <w:hyperlink w:anchor="_Toc284935558" w:history="1">
            <w:r w:rsidR="00373B5E" w:rsidRPr="00D770CE">
              <w:rPr>
                <w:rStyle w:val="Hyperlink"/>
              </w:rPr>
              <w:t>Appendix D:  Summary of population and employment forecasts</w:t>
            </w:r>
            <w:r w:rsidR="00373B5E">
              <w:rPr>
                <w:webHidden/>
              </w:rPr>
              <w:tab/>
            </w:r>
            <w:r w:rsidR="00373B5E">
              <w:rPr>
                <w:webHidden/>
              </w:rPr>
              <w:fldChar w:fldCharType="begin"/>
            </w:r>
            <w:r w:rsidR="00373B5E">
              <w:rPr>
                <w:webHidden/>
              </w:rPr>
              <w:instrText xml:space="preserve"> PAGEREF _Toc284935558 \h </w:instrText>
            </w:r>
            <w:r w:rsidR="00373B5E">
              <w:rPr>
                <w:webHidden/>
              </w:rPr>
            </w:r>
            <w:r w:rsidR="00373B5E">
              <w:rPr>
                <w:webHidden/>
              </w:rPr>
              <w:fldChar w:fldCharType="separate"/>
            </w:r>
            <w:r w:rsidR="00373B5E">
              <w:rPr>
                <w:webHidden/>
              </w:rPr>
              <w:t>18</w:t>
            </w:r>
            <w:r w:rsidR="00373B5E">
              <w:rPr>
                <w:webHidden/>
              </w:rPr>
              <w:fldChar w:fldCharType="end"/>
            </w:r>
          </w:hyperlink>
        </w:p>
        <w:p w:rsidR="00373B5E" w:rsidRDefault="003344CA">
          <w:pPr>
            <w:pStyle w:val="TOC2"/>
            <w:rPr>
              <w:rFonts w:asciiTheme="minorHAnsi" w:hAnsiTheme="minorHAnsi"/>
            </w:rPr>
          </w:pPr>
          <w:hyperlink w:anchor="_Toc284935559" w:history="1">
            <w:r w:rsidR="00373B5E" w:rsidRPr="00D770CE">
              <w:rPr>
                <w:rStyle w:val="Hyperlink"/>
              </w:rPr>
              <w:t>Appendix E:  Forecast validation checks</w:t>
            </w:r>
            <w:r w:rsidR="00373B5E">
              <w:rPr>
                <w:webHidden/>
              </w:rPr>
              <w:tab/>
            </w:r>
            <w:r w:rsidR="00373B5E">
              <w:rPr>
                <w:webHidden/>
              </w:rPr>
              <w:fldChar w:fldCharType="begin"/>
            </w:r>
            <w:r w:rsidR="00373B5E">
              <w:rPr>
                <w:webHidden/>
              </w:rPr>
              <w:instrText xml:space="preserve"> PAGEREF _Toc284935559 \h </w:instrText>
            </w:r>
            <w:r w:rsidR="00373B5E">
              <w:rPr>
                <w:webHidden/>
              </w:rPr>
            </w:r>
            <w:r w:rsidR="00373B5E">
              <w:rPr>
                <w:webHidden/>
              </w:rPr>
              <w:fldChar w:fldCharType="separate"/>
            </w:r>
            <w:r w:rsidR="00373B5E">
              <w:rPr>
                <w:webHidden/>
              </w:rPr>
              <w:t>19</w:t>
            </w:r>
            <w:r w:rsidR="00373B5E">
              <w:rPr>
                <w:webHidden/>
              </w:rPr>
              <w:fldChar w:fldCharType="end"/>
            </w:r>
          </w:hyperlink>
        </w:p>
        <w:p w:rsidR="00373B5E" w:rsidRDefault="003344CA">
          <w:pPr>
            <w:pStyle w:val="TOC3"/>
            <w:rPr>
              <w:rFonts w:asciiTheme="minorHAnsi" w:hAnsiTheme="minorHAnsi"/>
            </w:rPr>
          </w:pPr>
          <w:hyperlink w:anchor="_Toc284935560" w:history="1">
            <w:r w:rsidR="00373B5E" w:rsidRPr="00D770CE">
              <w:rPr>
                <w:rStyle w:val="Hyperlink"/>
              </w:rPr>
              <w:t>E1.  Local employment validation</w:t>
            </w:r>
            <w:r w:rsidR="00373B5E">
              <w:rPr>
                <w:webHidden/>
              </w:rPr>
              <w:tab/>
            </w:r>
            <w:r w:rsidR="00373B5E">
              <w:rPr>
                <w:webHidden/>
              </w:rPr>
              <w:fldChar w:fldCharType="begin"/>
            </w:r>
            <w:r w:rsidR="00373B5E">
              <w:rPr>
                <w:webHidden/>
              </w:rPr>
              <w:instrText xml:space="preserve"> PAGEREF _Toc284935560 \h </w:instrText>
            </w:r>
            <w:r w:rsidR="00373B5E">
              <w:rPr>
                <w:webHidden/>
              </w:rPr>
            </w:r>
            <w:r w:rsidR="00373B5E">
              <w:rPr>
                <w:webHidden/>
              </w:rPr>
              <w:fldChar w:fldCharType="separate"/>
            </w:r>
            <w:r w:rsidR="00373B5E">
              <w:rPr>
                <w:webHidden/>
              </w:rPr>
              <w:t>19</w:t>
            </w:r>
            <w:r w:rsidR="00373B5E">
              <w:rPr>
                <w:webHidden/>
              </w:rPr>
              <w:fldChar w:fldCharType="end"/>
            </w:r>
          </w:hyperlink>
        </w:p>
        <w:p w:rsidR="00373B5E" w:rsidRDefault="003344CA">
          <w:pPr>
            <w:pStyle w:val="TOC3"/>
            <w:rPr>
              <w:rFonts w:asciiTheme="minorHAnsi" w:hAnsiTheme="minorHAnsi"/>
            </w:rPr>
          </w:pPr>
          <w:hyperlink w:anchor="_Toc284935561" w:history="1">
            <w:r w:rsidR="00373B5E" w:rsidRPr="00D770CE">
              <w:rPr>
                <w:rStyle w:val="Hyperlink"/>
              </w:rPr>
              <w:t>E2.  Population density saturation</w:t>
            </w:r>
            <w:r w:rsidR="00373B5E">
              <w:rPr>
                <w:webHidden/>
              </w:rPr>
              <w:tab/>
            </w:r>
            <w:r w:rsidR="00373B5E">
              <w:rPr>
                <w:webHidden/>
              </w:rPr>
              <w:fldChar w:fldCharType="begin"/>
            </w:r>
            <w:r w:rsidR="00373B5E">
              <w:rPr>
                <w:webHidden/>
              </w:rPr>
              <w:instrText xml:space="preserve"> PAGEREF _Toc284935561 \h </w:instrText>
            </w:r>
            <w:r w:rsidR="00373B5E">
              <w:rPr>
                <w:webHidden/>
              </w:rPr>
            </w:r>
            <w:r w:rsidR="00373B5E">
              <w:rPr>
                <w:webHidden/>
              </w:rPr>
              <w:fldChar w:fldCharType="separate"/>
            </w:r>
            <w:r w:rsidR="00373B5E">
              <w:rPr>
                <w:webHidden/>
              </w:rPr>
              <w:t>22</w:t>
            </w:r>
            <w:r w:rsidR="00373B5E">
              <w:rPr>
                <w:webHidden/>
              </w:rPr>
              <w:fldChar w:fldCharType="end"/>
            </w:r>
          </w:hyperlink>
        </w:p>
        <w:p w:rsidR="00373B5E" w:rsidRDefault="003344CA">
          <w:pPr>
            <w:pStyle w:val="TOC3"/>
            <w:rPr>
              <w:rFonts w:asciiTheme="minorHAnsi" w:hAnsiTheme="minorHAnsi"/>
            </w:rPr>
          </w:pPr>
          <w:hyperlink w:anchor="_Toc284935562" w:history="1">
            <w:r w:rsidR="00373B5E" w:rsidRPr="00D770CE">
              <w:rPr>
                <w:rStyle w:val="Hyperlink"/>
              </w:rPr>
              <w:t>E3.  Households compared to parcel counts</w:t>
            </w:r>
            <w:r w:rsidR="00373B5E">
              <w:rPr>
                <w:webHidden/>
              </w:rPr>
              <w:tab/>
            </w:r>
            <w:r w:rsidR="00373B5E">
              <w:rPr>
                <w:webHidden/>
              </w:rPr>
              <w:fldChar w:fldCharType="begin"/>
            </w:r>
            <w:r w:rsidR="00373B5E">
              <w:rPr>
                <w:webHidden/>
              </w:rPr>
              <w:instrText xml:space="preserve"> PAGEREF _Toc284935562 \h </w:instrText>
            </w:r>
            <w:r w:rsidR="00373B5E">
              <w:rPr>
                <w:webHidden/>
              </w:rPr>
            </w:r>
            <w:r w:rsidR="00373B5E">
              <w:rPr>
                <w:webHidden/>
              </w:rPr>
              <w:fldChar w:fldCharType="separate"/>
            </w:r>
            <w:r w:rsidR="00373B5E">
              <w:rPr>
                <w:webHidden/>
              </w:rPr>
              <w:t>27</w:t>
            </w:r>
            <w:r w:rsidR="00373B5E">
              <w:rPr>
                <w:webHidden/>
              </w:rPr>
              <w:fldChar w:fldCharType="end"/>
            </w:r>
          </w:hyperlink>
        </w:p>
        <w:p w:rsidR="00373B5E" w:rsidRDefault="003344CA">
          <w:pPr>
            <w:pStyle w:val="TOC3"/>
            <w:rPr>
              <w:rFonts w:asciiTheme="minorHAnsi" w:hAnsiTheme="minorHAnsi"/>
            </w:rPr>
          </w:pPr>
          <w:hyperlink w:anchor="_Toc284935563" w:history="1">
            <w:r w:rsidR="00373B5E" w:rsidRPr="00D770CE">
              <w:rPr>
                <w:rStyle w:val="Hyperlink"/>
              </w:rPr>
              <w:t>E4.  Land capacity validation</w:t>
            </w:r>
            <w:r w:rsidR="00373B5E">
              <w:rPr>
                <w:webHidden/>
              </w:rPr>
              <w:tab/>
            </w:r>
            <w:r w:rsidR="00373B5E">
              <w:rPr>
                <w:webHidden/>
              </w:rPr>
              <w:fldChar w:fldCharType="begin"/>
            </w:r>
            <w:r w:rsidR="00373B5E">
              <w:rPr>
                <w:webHidden/>
              </w:rPr>
              <w:instrText xml:space="preserve"> PAGEREF _Toc284935563 \h </w:instrText>
            </w:r>
            <w:r w:rsidR="00373B5E">
              <w:rPr>
                <w:webHidden/>
              </w:rPr>
            </w:r>
            <w:r w:rsidR="00373B5E">
              <w:rPr>
                <w:webHidden/>
              </w:rPr>
              <w:fldChar w:fldCharType="separate"/>
            </w:r>
            <w:r w:rsidR="00373B5E">
              <w:rPr>
                <w:webHidden/>
              </w:rPr>
              <w:t>30</w:t>
            </w:r>
            <w:r w:rsidR="00373B5E">
              <w:rPr>
                <w:webHidden/>
              </w:rPr>
              <w:fldChar w:fldCharType="end"/>
            </w:r>
          </w:hyperlink>
        </w:p>
        <w:p w:rsidR="00373B5E" w:rsidRDefault="003344CA">
          <w:pPr>
            <w:pStyle w:val="TOC2"/>
            <w:rPr>
              <w:rFonts w:asciiTheme="minorHAnsi" w:hAnsiTheme="minorHAnsi"/>
            </w:rPr>
          </w:pPr>
          <w:hyperlink w:anchor="_Toc284935564" w:history="1">
            <w:r w:rsidR="00373B5E" w:rsidRPr="00D770CE">
              <w:rPr>
                <w:rStyle w:val="Hyperlink"/>
              </w:rPr>
              <w:t>Appendix F:  Travel demand model summaries</w:t>
            </w:r>
            <w:r w:rsidR="00373B5E">
              <w:rPr>
                <w:webHidden/>
              </w:rPr>
              <w:tab/>
            </w:r>
            <w:r w:rsidR="00373B5E">
              <w:rPr>
                <w:webHidden/>
              </w:rPr>
              <w:fldChar w:fldCharType="begin"/>
            </w:r>
            <w:r w:rsidR="00373B5E">
              <w:rPr>
                <w:webHidden/>
              </w:rPr>
              <w:instrText xml:space="preserve"> PAGEREF _Toc284935564 \h </w:instrText>
            </w:r>
            <w:r w:rsidR="00373B5E">
              <w:rPr>
                <w:webHidden/>
              </w:rPr>
            </w:r>
            <w:r w:rsidR="00373B5E">
              <w:rPr>
                <w:webHidden/>
              </w:rPr>
              <w:fldChar w:fldCharType="separate"/>
            </w:r>
            <w:r w:rsidR="00373B5E">
              <w:rPr>
                <w:webHidden/>
              </w:rPr>
              <w:t>40</w:t>
            </w:r>
            <w:r w:rsidR="00373B5E">
              <w:rPr>
                <w:webHidden/>
              </w:rPr>
              <w:fldChar w:fldCharType="end"/>
            </w:r>
          </w:hyperlink>
        </w:p>
        <w:p w:rsidR="00373B5E" w:rsidRDefault="003344CA">
          <w:pPr>
            <w:pStyle w:val="TOC3"/>
            <w:rPr>
              <w:rFonts w:asciiTheme="minorHAnsi" w:hAnsiTheme="minorHAnsi"/>
            </w:rPr>
          </w:pPr>
          <w:hyperlink w:anchor="_Toc284935565" w:history="1">
            <w:r w:rsidR="00373B5E" w:rsidRPr="00D770CE">
              <w:rPr>
                <w:rStyle w:val="Hyperlink"/>
              </w:rPr>
              <w:t>F1.  Trip generation</w:t>
            </w:r>
            <w:r w:rsidR="00373B5E">
              <w:rPr>
                <w:webHidden/>
              </w:rPr>
              <w:tab/>
            </w:r>
            <w:r w:rsidR="00373B5E">
              <w:rPr>
                <w:webHidden/>
              </w:rPr>
              <w:fldChar w:fldCharType="begin"/>
            </w:r>
            <w:r w:rsidR="00373B5E">
              <w:rPr>
                <w:webHidden/>
              </w:rPr>
              <w:instrText xml:space="preserve"> PAGEREF _Toc284935565 \h </w:instrText>
            </w:r>
            <w:r w:rsidR="00373B5E">
              <w:rPr>
                <w:webHidden/>
              </w:rPr>
            </w:r>
            <w:r w:rsidR="00373B5E">
              <w:rPr>
                <w:webHidden/>
              </w:rPr>
              <w:fldChar w:fldCharType="separate"/>
            </w:r>
            <w:r w:rsidR="00373B5E">
              <w:rPr>
                <w:webHidden/>
              </w:rPr>
              <w:t>41</w:t>
            </w:r>
            <w:r w:rsidR="00373B5E">
              <w:rPr>
                <w:webHidden/>
              </w:rPr>
              <w:fldChar w:fldCharType="end"/>
            </w:r>
          </w:hyperlink>
        </w:p>
        <w:p w:rsidR="00373B5E" w:rsidRDefault="003344CA">
          <w:pPr>
            <w:pStyle w:val="TOC3"/>
            <w:rPr>
              <w:rFonts w:asciiTheme="minorHAnsi" w:hAnsiTheme="minorHAnsi"/>
            </w:rPr>
          </w:pPr>
          <w:hyperlink w:anchor="_Toc284935566" w:history="1">
            <w:r w:rsidR="00373B5E" w:rsidRPr="00D770CE">
              <w:rPr>
                <w:rStyle w:val="Hyperlink"/>
              </w:rPr>
              <w:t>F2.  Network supply</w:t>
            </w:r>
            <w:r w:rsidR="00373B5E">
              <w:rPr>
                <w:webHidden/>
              </w:rPr>
              <w:tab/>
            </w:r>
            <w:r w:rsidR="00373B5E">
              <w:rPr>
                <w:webHidden/>
              </w:rPr>
              <w:fldChar w:fldCharType="begin"/>
            </w:r>
            <w:r w:rsidR="00373B5E">
              <w:rPr>
                <w:webHidden/>
              </w:rPr>
              <w:instrText xml:space="preserve"> PAGEREF _Toc284935566 \h </w:instrText>
            </w:r>
            <w:r w:rsidR="00373B5E">
              <w:rPr>
                <w:webHidden/>
              </w:rPr>
            </w:r>
            <w:r w:rsidR="00373B5E">
              <w:rPr>
                <w:webHidden/>
              </w:rPr>
              <w:fldChar w:fldCharType="separate"/>
            </w:r>
            <w:r w:rsidR="00373B5E">
              <w:rPr>
                <w:webHidden/>
              </w:rPr>
              <w:t>42</w:t>
            </w:r>
            <w:r w:rsidR="00373B5E">
              <w:rPr>
                <w:webHidden/>
              </w:rPr>
              <w:fldChar w:fldCharType="end"/>
            </w:r>
          </w:hyperlink>
        </w:p>
        <w:p w:rsidR="00373B5E" w:rsidRDefault="003344CA">
          <w:pPr>
            <w:pStyle w:val="TOC3"/>
            <w:rPr>
              <w:rFonts w:asciiTheme="minorHAnsi" w:hAnsiTheme="minorHAnsi"/>
            </w:rPr>
          </w:pPr>
          <w:hyperlink w:anchor="_Toc284935567" w:history="1">
            <w:r w:rsidR="00373B5E" w:rsidRPr="00D770CE">
              <w:rPr>
                <w:rStyle w:val="Hyperlink"/>
              </w:rPr>
              <w:t>F3.  Transit level of service</w:t>
            </w:r>
            <w:r w:rsidR="00373B5E">
              <w:rPr>
                <w:webHidden/>
              </w:rPr>
              <w:tab/>
            </w:r>
            <w:r w:rsidR="00373B5E">
              <w:rPr>
                <w:webHidden/>
              </w:rPr>
              <w:fldChar w:fldCharType="begin"/>
            </w:r>
            <w:r w:rsidR="00373B5E">
              <w:rPr>
                <w:webHidden/>
              </w:rPr>
              <w:instrText xml:space="preserve"> PAGEREF _Toc284935567 \h </w:instrText>
            </w:r>
            <w:r w:rsidR="00373B5E">
              <w:rPr>
                <w:webHidden/>
              </w:rPr>
            </w:r>
            <w:r w:rsidR="00373B5E">
              <w:rPr>
                <w:webHidden/>
              </w:rPr>
              <w:fldChar w:fldCharType="separate"/>
            </w:r>
            <w:r w:rsidR="00373B5E">
              <w:rPr>
                <w:webHidden/>
              </w:rPr>
              <w:t>43</w:t>
            </w:r>
            <w:r w:rsidR="00373B5E">
              <w:rPr>
                <w:webHidden/>
              </w:rPr>
              <w:fldChar w:fldCharType="end"/>
            </w:r>
          </w:hyperlink>
        </w:p>
        <w:p w:rsidR="00373B5E" w:rsidRDefault="003344CA">
          <w:pPr>
            <w:pStyle w:val="TOC3"/>
            <w:rPr>
              <w:rFonts w:asciiTheme="minorHAnsi" w:hAnsiTheme="minorHAnsi"/>
            </w:rPr>
          </w:pPr>
          <w:hyperlink w:anchor="_Toc284935568" w:history="1">
            <w:r w:rsidR="00373B5E" w:rsidRPr="00D770CE">
              <w:rPr>
                <w:rStyle w:val="Hyperlink"/>
              </w:rPr>
              <w:t>F4.  Trip tables</w:t>
            </w:r>
            <w:r w:rsidR="00373B5E">
              <w:rPr>
                <w:webHidden/>
              </w:rPr>
              <w:tab/>
            </w:r>
            <w:r w:rsidR="00373B5E">
              <w:rPr>
                <w:webHidden/>
              </w:rPr>
              <w:fldChar w:fldCharType="begin"/>
            </w:r>
            <w:r w:rsidR="00373B5E">
              <w:rPr>
                <w:webHidden/>
              </w:rPr>
              <w:instrText xml:space="preserve"> PAGEREF _Toc284935568 \h </w:instrText>
            </w:r>
            <w:r w:rsidR="00373B5E">
              <w:rPr>
                <w:webHidden/>
              </w:rPr>
            </w:r>
            <w:r w:rsidR="00373B5E">
              <w:rPr>
                <w:webHidden/>
              </w:rPr>
              <w:fldChar w:fldCharType="separate"/>
            </w:r>
            <w:r w:rsidR="00373B5E">
              <w:rPr>
                <w:webHidden/>
              </w:rPr>
              <w:t>44</w:t>
            </w:r>
            <w:r w:rsidR="00373B5E">
              <w:rPr>
                <w:webHidden/>
              </w:rPr>
              <w:fldChar w:fldCharType="end"/>
            </w:r>
          </w:hyperlink>
        </w:p>
        <w:p w:rsidR="00373B5E" w:rsidRDefault="003344CA">
          <w:pPr>
            <w:pStyle w:val="TOC3"/>
            <w:rPr>
              <w:rFonts w:asciiTheme="minorHAnsi" w:hAnsiTheme="minorHAnsi"/>
            </w:rPr>
          </w:pPr>
          <w:hyperlink w:anchor="_Toc284935569" w:history="1">
            <w:r w:rsidR="00373B5E" w:rsidRPr="00D770CE">
              <w:rPr>
                <w:rStyle w:val="Hyperlink"/>
              </w:rPr>
              <w:t>F5.  Highway level of service</w:t>
            </w:r>
            <w:r w:rsidR="00373B5E">
              <w:rPr>
                <w:webHidden/>
              </w:rPr>
              <w:tab/>
            </w:r>
            <w:r w:rsidR="00373B5E">
              <w:rPr>
                <w:webHidden/>
              </w:rPr>
              <w:fldChar w:fldCharType="begin"/>
            </w:r>
            <w:r w:rsidR="00373B5E">
              <w:rPr>
                <w:webHidden/>
              </w:rPr>
              <w:instrText xml:space="preserve"> PAGEREF _Toc284935569 \h </w:instrText>
            </w:r>
            <w:r w:rsidR="00373B5E">
              <w:rPr>
                <w:webHidden/>
              </w:rPr>
            </w:r>
            <w:r w:rsidR="00373B5E">
              <w:rPr>
                <w:webHidden/>
              </w:rPr>
              <w:fldChar w:fldCharType="separate"/>
            </w:r>
            <w:r w:rsidR="00373B5E">
              <w:rPr>
                <w:webHidden/>
              </w:rPr>
              <w:t>45</w:t>
            </w:r>
            <w:r w:rsidR="00373B5E">
              <w:rPr>
                <w:webHidden/>
              </w:rPr>
              <w:fldChar w:fldCharType="end"/>
            </w:r>
          </w:hyperlink>
        </w:p>
        <w:p w:rsidR="00430A10" w:rsidRDefault="00D23A86" w:rsidP="00430A10">
          <w:pPr>
            <w:spacing w:after="0"/>
          </w:pPr>
          <w:r w:rsidRPr="000226C3">
            <w:rPr>
              <w:rFonts w:ascii="Palatino Linotype" w:hAnsi="Palatino Linotype"/>
            </w:rPr>
            <w:fldChar w:fldCharType="end"/>
          </w:r>
        </w:p>
      </w:sdtContent>
    </w:sdt>
    <w:p w:rsidR="00B87CC3" w:rsidRDefault="00B87CC3">
      <w:pPr>
        <w:rPr>
          <w:rFonts w:ascii="Palatino Linotype" w:eastAsiaTheme="majorEastAsia" w:hAnsi="Palatino Linotype" w:cstheme="majorBidi"/>
          <w:b/>
          <w:bCs/>
          <w:color w:val="365F91" w:themeColor="accent1" w:themeShade="BF"/>
          <w:sz w:val="28"/>
          <w:szCs w:val="28"/>
        </w:rPr>
      </w:pPr>
    </w:p>
    <w:p w:rsidR="00156E5D" w:rsidRPr="00156E5D" w:rsidRDefault="00156E5D">
      <w:pPr>
        <w:pStyle w:val="TableofFigures"/>
        <w:tabs>
          <w:tab w:val="right" w:leader="dot" w:pos="12950"/>
        </w:tabs>
        <w:rPr>
          <w:rFonts w:asciiTheme="majorHAnsi" w:eastAsiaTheme="majorEastAsia" w:hAnsiTheme="majorHAnsi" w:cstheme="majorBidi"/>
          <w:b/>
          <w:bCs/>
          <w:color w:val="365F91" w:themeColor="accent1" w:themeShade="BF"/>
          <w:sz w:val="28"/>
          <w:szCs w:val="28"/>
        </w:rPr>
      </w:pPr>
      <w:r w:rsidRPr="00156E5D">
        <w:rPr>
          <w:rFonts w:asciiTheme="majorHAnsi" w:eastAsiaTheme="majorEastAsia" w:hAnsiTheme="majorHAnsi" w:cstheme="majorBidi"/>
          <w:b/>
          <w:bCs/>
          <w:color w:val="365F91" w:themeColor="accent1" w:themeShade="BF"/>
          <w:sz w:val="28"/>
          <w:szCs w:val="28"/>
        </w:rPr>
        <w:lastRenderedPageBreak/>
        <w:t>Figures</w:t>
      </w:r>
    </w:p>
    <w:p w:rsidR="00373B5E" w:rsidRPr="00373B5E" w:rsidRDefault="00D23A86">
      <w:pPr>
        <w:pStyle w:val="TableofFigures"/>
        <w:tabs>
          <w:tab w:val="right" w:leader="dot" w:pos="12950"/>
        </w:tabs>
        <w:rPr>
          <w:rFonts w:ascii="Palatino Linotype" w:hAnsi="Palatino Linotype"/>
          <w:noProof/>
        </w:rPr>
      </w:pPr>
      <w:r w:rsidRPr="00373B5E">
        <w:rPr>
          <w:rFonts w:ascii="Palatino Linotype" w:hAnsi="Palatino Linotype"/>
        </w:rPr>
        <w:fldChar w:fldCharType="begin"/>
      </w:r>
      <w:r w:rsidR="00607BBC" w:rsidRPr="00373B5E">
        <w:rPr>
          <w:rFonts w:ascii="Palatino Linotype" w:hAnsi="Palatino Linotype"/>
        </w:rPr>
        <w:instrText xml:space="preserve"> TOC \h \z \c "Figure" </w:instrText>
      </w:r>
      <w:r w:rsidRPr="00373B5E">
        <w:rPr>
          <w:rFonts w:ascii="Palatino Linotype" w:hAnsi="Palatino Linotype"/>
        </w:rPr>
        <w:fldChar w:fldCharType="separate"/>
      </w:r>
      <w:hyperlink w:anchor="_Toc284935624" w:history="1">
        <w:r w:rsidR="00373B5E" w:rsidRPr="00373B5E">
          <w:rPr>
            <w:rStyle w:val="Hyperlink"/>
            <w:rFonts w:ascii="Palatino Linotype" w:hAnsi="Palatino Linotype"/>
            <w:noProof/>
          </w:rPr>
          <w:t>Figure 1:  CMAP Modeling Geography</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_Toc284935624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4</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25" w:history="1">
        <w:r w:rsidR="00373B5E" w:rsidRPr="00373B5E">
          <w:rPr>
            <w:rStyle w:val="Hyperlink"/>
            <w:rFonts w:ascii="Palatino Linotype" w:hAnsi="Palatino Linotype"/>
            <w:noProof/>
          </w:rPr>
          <w:t>Figure 2:  2010 Population Estimates</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_Toc284935625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6</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26" w:history="1">
        <w:r w:rsidR="00373B5E" w:rsidRPr="00373B5E">
          <w:rPr>
            <w:rStyle w:val="Hyperlink"/>
            <w:rFonts w:ascii="Palatino Linotype" w:hAnsi="Palatino Linotype"/>
            <w:noProof/>
          </w:rPr>
          <w:t>Figure 3:  2010 Employment Estimates</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_Toc284935626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8</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27" w:history="1">
        <w:r w:rsidR="00373B5E" w:rsidRPr="00373B5E">
          <w:rPr>
            <w:rStyle w:val="Hyperlink"/>
            <w:rFonts w:ascii="Palatino Linotype" w:hAnsi="Palatino Linotype"/>
            <w:noProof/>
          </w:rPr>
          <w:t>Figure 4:  Summary of population and employment forecasts</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_Toc284935627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18</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28" w:history="1">
        <w:r w:rsidR="00373B5E" w:rsidRPr="00373B5E">
          <w:rPr>
            <w:rStyle w:val="Hyperlink"/>
            <w:rFonts w:ascii="Palatino Linotype" w:hAnsi="Palatino Linotype" w:cstheme="minorHAnsi"/>
            <w:noProof/>
          </w:rPr>
          <w:t>Figure 5:  2010 assessment of local retail</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_Toc284935628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20</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29" w:history="1">
        <w:r w:rsidR="00373B5E" w:rsidRPr="00373B5E">
          <w:rPr>
            <w:rStyle w:val="Hyperlink"/>
            <w:rFonts w:ascii="Palatino Linotype" w:hAnsi="Palatino Linotype" w:cstheme="minorHAnsi"/>
            <w:noProof/>
          </w:rPr>
          <w:t>Figure 6:  2040 preferred scenario assessment of local retail</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_Toc284935629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21</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30" w:history="1">
        <w:r w:rsidR="00373B5E" w:rsidRPr="00373B5E">
          <w:rPr>
            <w:rStyle w:val="Hyperlink"/>
            <w:rFonts w:ascii="Palatino Linotype" w:hAnsi="Palatino Linotype"/>
            <w:noProof/>
          </w:rPr>
          <w:t>Figure 7:  Preferred scenario strategy effects on a disinvested community in the urban core</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_Toc284935630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23</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31" w:history="1">
        <w:r w:rsidR="00373B5E" w:rsidRPr="00373B5E">
          <w:rPr>
            <w:rStyle w:val="Hyperlink"/>
            <w:rFonts w:ascii="Palatino Linotype" w:hAnsi="Palatino Linotype"/>
            <w:noProof/>
          </w:rPr>
          <w:t>Figure 8:  Preferred scenario strategy effects on a stable community in the urban core</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_Toc284935631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24</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32" w:history="1">
        <w:r w:rsidR="00373B5E" w:rsidRPr="00373B5E">
          <w:rPr>
            <w:rStyle w:val="Hyperlink"/>
            <w:rFonts w:ascii="Palatino Linotype" w:hAnsi="Palatino Linotype"/>
            <w:noProof/>
          </w:rPr>
          <w:t>Figure 9:  Preferred Scenario Strategy effects on a dense suburban community with high transit accessibility</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_Toc284935632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25</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33" w:history="1">
        <w:r w:rsidR="00373B5E" w:rsidRPr="00373B5E">
          <w:rPr>
            <w:rStyle w:val="Hyperlink"/>
            <w:rFonts w:ascii="Palatino Linotype" w:hAnsi="Palatino Linotype"/>
            <w:noProof/>
          </w:rPr>
          <w:t>Figure 10:  Preferred scenario strategy effects on a low density suburban community with little transit accessibility</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_Toc284935633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26</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34" w:history="1">
        <w:r w:rsidR="00373B5E" w:rsidRPr="00373B5E">
          <w:rPr>
            <w:rStyle w:val="Hyperlink"/>
            <w:rFonts w:ascii="Palatino Linotype" w:hAnsi="Palatino Linotype"/>
            <w:noProof/>
          </w:rPr>
          <w:t>Figure 11:  2010 households minus current count of residential parcels.</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_Toc284935634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27</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35" w:history="1">
        <w:r w:rsidR="00373B5E" w:rsidRPr="00373B5E">
          <w:rPr>
            <w:rStyle w:val="Hyperlink"/>
            <w:rFonts w:ascii="Palatino Linotype" w:hAnsi="Palatino Linotype"/>
            <w:noProof/>
          </w:rPr>
          <w:t>Figure 12:  Oswego, Northeast Kendall/Northwest Will County</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_Toc284935635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28</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36" w:history="1">
        <w:r w:rsidR="00373B5E" w:rsidRPr="00373B5E">
          <w:rPr>
            <w:rStyle w:val="Hyperlink"/>
            <w:rFonts w:ascii="Palatino Linotype" w:hAnsi="Palatino Linotype"/>
            <w:noProof/>
          </w:rPr>
          <w:t>Figure 13:  Wheatland Township, Will County</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_Toc284935636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28</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37" w:history="1">
        <w:r w:rsidR="00373B5E" w:rsidRPr="00373B5E">
          <w:rPr>
            <w:rStyle w:val="Hyperlink"/>
            <w:rFonts w:ascii="Palatino Linotype" w:hAnsi="Palatino Linotype"/>
            <w:noProof/>
          </w:rPr>
          <w:t>Figure 14:  2040 household values constrained to match or exceed 2010 parcel counts.</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_Toc284935637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29</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38" w:history="1">
        <w:r w:rsidR="00373B5E" w:rsidRPr="00373B5E">
          <w:rPr>
            <w:rStyle w:val="Hyperlink"/>
            <w:rFonts w:ascii="Palatino Linotype" w:hAnsi="Palatino Linotype"/>
            <w:noProof/>
          </w:rPr>
          <w:t>Figure 15:  Trip Generation Summary</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_Toc284935638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41</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39" w:history="1">
        <w:r w:rsidR="00373B5E" w:rsidRPr="00373B5E">
          <w:rPr>
            <w:rStyle w:val="Hyperlink"/>
            <w:rFonts w:ascii="Palatino Linotype" w:hAnsi="Palatino Linotype"/>
            <w:noProof/>
          </w:rPr>
          <w:t>Figure 16:  Network Supply</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_Toc284935639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42</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40" w:history="1">
        <w:r w:rsidR="00373B5E" w:rsidRPr="00373B5E">
          <w:rPr>
            <w:rStyle w:val="Hyperlink"/>
            <w:rFonts w:ascii="Palatino Linotype" w:hAnsi="Palatino Linotype"/>
            <w:noProof/>
          </w:rPr>
          <w:t>Figure 17:  Transit Level of Service</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_Toc284935640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43</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41" w:history="1">
        <w:r w:rsidR="00373B5E" w:rsidRPr="00373B5E">
          <w:rPr>
            <w:rStyle w:val="Hyperlink"/>
            <w:rFonts w:ascii="Palatino Linotype" w:hAnsi="Palatino Linotype"/>
            <w:noProof/>
          </w:rPr>
          <w:t>Figure 18:  Trip tables</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_Toc284935641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44</w:t>
        </w:r>
        <w:r w:rsidR="00373B5E" w:rsidRPr="00373B5E">
          <w:rPr>
            <w:rFonts w:ascii="Palatino Linotype" w:hAnsi="Palatino Linotype"/>
            <w:noProof/>
            <w:webHidden/>
          </w:rPr>
          <w:fldChar w:fldCharType="end"/>
        </w:r>
      </w:hyperlink>
    </w:p>
    <w:p w:rsidR="00373B5E" w:rsidRPr="00373B5E" w:rsidRDefault="003344CA">
      <w:pPr>
        <w:pStyle w:val="TableofFigures"/>
        <w:tabs>
          <w:tab w:val="right" w:leader="dot" w:pos="12950"/>
        </w:tabs>
        <w:rPr>
          <w:rFonts w:ascii="Palatino Linotype" w:hAnsi="Palatino Linotype"/>
          <w:noProof/>
        </w:rPr>
      </w:pPr>
      <w:hyperlink w:anchor="_Toc284935642" w:history="1">
        <w:r w:rsidR="00373B5E" w:rsidRPr="00373B5E">
          <w:rPr>
            <w:rStyle w:val="Hyperlink"/>
            <w:rFonts w:ascii="Palatino Linotype" w:hAnsi="Palatino Linotype"/>
            <w:noProof/>
          </w:rPr>
          <w:t>Figure 19:  Highway Level of Service</w:t>
        </w:r>
        <w:r w:rsidR="00373B5E" w:rsidRPr="00373B5E">
          <w:rPr>
            <w:rFonts w:ascii="Palatino Linotype" w:hAnsi="Palatino Linotype"/>
            <w:noProof/>
            <w:webHidden/>
          </w:rPr>
          <w:tab/>
        </w:r>
        <w:r w:rsidR="00373B5E" w:rsidRPr="00373B5E">
          <w:rPr>
            <w:rFonts w:ascii="Palatino Linotype" w:hAnsi="Palatino Linotype"/>
            <w:noProof/>
            <w:webHidden/>
          </w:rPr>
          <w:fldChar w:fldCharType="begin"/>
        </w:r>
        <w:r w:rsidR="00373B5E" w:rsidRPr="00373B5E">
          <w:rPr>
            <w:rFonts w:ascii="Palatino Linotype" w:hAnsi="Palatino Linotype"/>
            <w:noProof/>
            <w:webHidden/>
          </w:rPr>
          <w:instrText xml:space="preserve"> PAGEREF _Toc284935642 \h </w:instrText>
        </w:r>
        <w:r w:rsidR="00373B5E" w:rsidRPr="00373B5E">
          <w:rPr>
            <w:rFonts w:ascii="Palatino Linotype" w:hAnsi="Palatino Linotype"/>
            <w:noProof/>
            <w:webHidden/>
          </w:rPr>
        </w:r>
        <w:r w:rsidR="00373B5E" w:rsidRPr="00373B5E">
          <w:rPr>
            <w:rFonts w:ascii="Palatino Linotype" w:hAnsi="Palatino Linotype"/>
            <w:noProof/>
            <w:webHidden/>
          </w:rPr>
          <w:fldChar w:fldCharType="separate"/>
        </w:r>
        <w:r w:rsidR="00373B5E" w:rsidRPr="00373B5E">
          <w:rPr>
            <w:rFonts w:ascii="Palatino Linotype" w:hAnsi="Palatino Linotype"/>
            <w:noProof/>
            <w:webHidden/>
          </w:rPr>
          <w:t>45</w:t>
        </w:r>
        <w:r w:rsidR="00373B5E" w:rsidRPr="00373B5E">
          <w:rPr>
            <w:rFonts w:ascii="Palatino Linotype" w:hAnsi="Palatino Linotype"/>
            <w:noProof/>
            <w:webHidden/>
          </w:rPr>
          <w:fldChar w:fldCharType="end"/>
        </w:r>
      </w:hyperlink>
    </w:p>
    <w:p w:rsidR="00B87CC3" w:rsidRDefault="00D23A86">
      <w:pPr>
        <w:rPr>
          <w:rFonts w:ascii="Palatino Linotype" w:eastAsiaTheme="majorEastAsia" w:hAnsi="Palatino Linotype" w:cstheme="majorBidi"/>
          <w:b/>
          <w:bCs/>
          <w:color w:val="365F91" w:themeColor="accent1" w:themeShade="BF"/>
          <w:sz w:val="28"/>
          <w:szCs w:val="28"/>
        </w:rPr>
      </w:pPr>
      <w:r w:rsidRPr="00373B5E">
        <w:rPr>
          <w:rFonts w:ascii="Palatino Linotype" w:hAnsi="Palatino Linotype"/>
        </w:rPr>
        <w:fldChar w:fldCharType="end"/>
      </w:r>
      <w:r w:rsidR="00B87CC3">
        <w:rPr>
          <w:rFonts w:ascii="Palatino Linotype" w:hAnsi="Palatino Linotype"/>
        </w:rPr>
        <w:br w:type="page"/>
      </w:r>
    </w:p>
    <w:p w:rsidR="000A30A5" w:rsidRDefault="000A30A5" w:rsidP="00036BDA">
      <w:pPr>
        <w:pStyle w:val="Heading1"/>
        <w:rPr>
          <w:rFonts w:ascii="Palatino Linotype" w:hAnsi="Palatino Linotype"/>
        </w:rPr>
      </w:pPr>
      <w:bookmarkStart w:id="2" w:name="_Toc284935548"/>
      <w:r>
        <w:rPr>
          <w:rFonts w:ascii="Palatino Linotype" w:hAnsi="Palatino Linotype"/>
        </w:rPr>
        <w:lastRenderedPageBreak/>
        <w:t>Introduction</w:t>
      </w:r>
      <w:bookmarkEnd w:id="2"/>
      <w:bookmarkEnd w:id="1"/>
    </w:p>
    <w:p w:rsidR="007C4C15" w:rsidRPr="007C4C15" w:rsidRDefault="000A30A5" w:rsidP="007C4C15">
      <w:pPr>
        <w:rPr>
          <w:rFonts w:ascii="Palatino Linotype" w:hAnsi="Palatino Linotype"/>
        </w:rPr>
      </w:pPr>
      <w:r>
        <w:rPr>
          <w:rFonts w:ascii="Palatino Linotype" w:hAnsi="Palatino Linotype"/>
        </w:rPr>
        <w:t xml:space="preserve">This document </w:t>
      </w:r>
      <w:r w:rsidR="00F60F6A">
        <w:rPr>
          <w:rFonts w:ascii="Palatino Linotype" w:hAnsi="Palatino Linotype"/>
        </w:rPr>
        <w:t>is a primer on</w:t>
      </w:r>
      <w:r>
        <w:rPr>
          <w:rFonts w:ascii="Palatino Linotype" w:hAnsi="Palatino Linotype"/>
        </w:rPr>
        <w:t xml:space="preserve"> the method</w:t>
      </w:r>
      <w:r w:rsidR="002F020E">
        <w:rPr>
          <w:rFonts w:ascii="Palatino Linotype" w:hAnsi="Palatino Linotype"/>
        </w:rPr>
        <w:t>s</w:t>
      </w:r>
      <w:r>
        <w:rPr>
          <w:rFonts w:ascii="Palatino Linotype" w:hAnsi="Palatino Linotype"/>
        </w:rPr>
        <w:t xml:space="preserve"> </w:t>
      </w:r>
      <w:r w:rsidR="00870836">
        <w:rPr>
          <w:rFonts w:ascii="Palatino Linotype" w:hAnsi="Palatino Linotype"/>
        </w:rPr>
        <w:t xml:space="preserve">used </w:t>
      </w:r>
      <w:r>
        <w:rPr>
          <w:rFonts w:ascii="Palatino Linotype" w:hAnsi="Palatino Linotype"/>
        </w:rPr>
        <w:t xml:space="preserve">to develop datasets representing </w:t>
      </w:r>
      <w:r w:rsidR="00617A11">
        <w:rPr>
          <w:rFonts w:ascii="Palatino Linotype" w:hAnsi="Palatino Linotype"/>
        </w:rPr>
        <w:t xml:space="preserve">population and employment </w:t>
      </w:r>
      <w:r w:rsidR="00B63C5C">
        <w:rPr>
          <w:rFonts w:ascii="Palatino Linotype" w:hAnsi="Palatino Linotype"/>
        </w:rPr>
        <w:t xml:space="preserve">for </w:t>
      </w:r>
      <w:r w:rsidR="00FF48A4">
        <w:rPr>
          <w:rFonts w:ascii="Palatino Linotype" w:hAnsi="Palatino Linotype"/>
        </w:rPr>
        <w:t>long range plan</w:t>
      </w:r>
      <w:r w:rsidR="00617A11">
        <w:rPr>
          <w:rFonts w:ascii="Palatino Linotype" w:hAnsi="Palatino Linotype"/>
        </w:rPr>
        <w:t xml:space="preserve"> strategy analyses and preferred scenario modeling.</w:t>
      </w:r>
      <w:r w:rsidR="00B63C5C">
        <w:rPr>
          <w:rFonts w:ascii="Palatino Linotype" w:hAnsi="Palatino Linotype"/>
        </w:rPr>
        <w:t xml:space="preserve">  </w:t>
      </w:r>
      <w:r w:rsidR="00851E57">
        <w:rPr>
          <w:rFonts w:ascii="Palatino Linotype" w:hAnsi="Palatino Linotype"/>
        </w:rPr>
        <w:t xml:space="preserve">This document was prepared using Microsoft Office 2007 and permits direct user interaction with several of the data tables.  </w:t>
      </w:r>
      <w:r w:rsidR="007C4C15" w:rsidRPr="007C4C15">
        <w:rPr>
          <w:rFonts w:ascii="Palatino Linotype" w:hAnsi="Palatino Linotype"/>
        </w:rPr>
        <w:t xml:space="preserve">If you are viewing this document using an earlier version of Microsoft Office or in another application such as Adobe Reader, you may not have the functionality to properly view the tables.  Please contact </w:t>
      </w:r>
      <w:r w:rsidR="00FB55AD" w:rsidRPr="00FB55AD">
        <w:rPr>
          <w:rFonts w:ascii="Palatino Linotype" w:hAnsi="Palatino Linotype"/>
        </w:rPr>
        <w:t>CMAP</w:t>
      </w:r>
      <w:r w:rsidR="007C4C15" w:rsidRPr="007C4C15">
        <w:rPr>
          <w:rFonts w:ascii="Palatino Linotype" w:hAnsi="Palatino Linotype"/>
        </w:rPr>
        <w:t xml:space="preserve"> to arrange for transmittal of the data tables in a suitable format.</w:t>
      </w:r>
    </w:p>
    <w:p w:rsidR="00617A11" w:rsidRDefault="008168F1" w:rsidP="00617A11">
      <w:pPr>
        <w:pStyle w:val="Heading1"/>
        <w:rPr>
          <w:rFonts w:ascii="Palatino Linotype" w:hAnsi="Palatino Linotype"/>
        </w:rPr>
      </w:pPr>
      <w:bookmarkStart w:id="3" w:name="_Toc253553607"/>
      <w:bookmarkStart w:id="4" w:name="_Toc284935549"/>
      <w:r>
        <w:rPr>
          <w:rFonts w:ascii="Palatino Linotype" w:hAnsi="Palatino Linotype"/>
        </w:rPr>
        <w:t>Geography</w:t>
      </w:r>
      <w:bookmarkEnd w:id="3"/>
      <w:bookmarkEnd w:id="4"/>
    </w:p>
    <w:p w:rsidR="00617A11" w:rsidRPr="004B6605" w:rsidRDefault="00C77DE7" w:rsidP="00617A11">
      <w:pPr>
        <w:rPr>
          <w:rFonts w:ascii="Palatino Linotype" w:hAnsi="Palatino Linotype"/>
        </w:rPr>
      </w:pPr>
      <w:r>
        <w:rPr>
          <w:rFonts w:ascii="Palatino Linotype" w:hAnsi="Palatino Linotype"/>
        </w:rPr>
        <w:t>T</w:t>
      </w:r>
      <w:r w:rsidR="00617A11" w:rsidRPr="004B6605">
        <w:rPr>
          <w:rFonts w:ascii="Palatino Linotype" w:hAnsi="Palatino Linotype"/>
        </w:rPr>
        <w:t>he CMAP region covers seven northeastern Illinois cou</w:t>
      </w:r>
      <w:r>
        <w:rPr>
          <w:rFonts w:ascii="Palatino Linotype" w:hAnsi="Palatino Linotype"/>
        </w:rPr>
        <w:t>nties</w:t>
      </w:r>
      <w:r w:rsidR="00851E57">
        <w:rPr>
          <w:rFonts w:ascii="Palatino Linotype" w:hAnsi="Palatino Linotype"/>
        </w:rPr>
        <w:t>;</w:t>
      </w:r>
      <w:r w:rsidR="002F020E">
        <w:rPr>
          <w:rFonts w:ascii="Palatino Linotype" w:hAnsi="Palatino Linotype"/>
        </w:rPr>
        <w:t xml:space="preserve"> </w:t>
      </w:r>
      <w:r w:rsidR="00C253E2">
        <w:rPr>
          <w:rFonts w:ascii="Palatino Linotype" w:hAnsi="Palatino Linotype"/>
        </w:rPr>
        <w:t xml:space="preserve">which is </w:t>
      </w:r>
      <w:r w:rsidR="002F020E">
        <w:rPr>
          <w:rFonts w:ascii="Palatino Linotype" w:hAnsi="Palatino Linotype"/>
        </w:rPr>
        <w:t>about 4,000 square miles</w:t>
      </w:r>
      <w:r>
        <w:rPr>
          <w:rFonts w:ascii="Palatino Linotype" w:hAnsi="Palatino Linotype"/>
        </w:rPr>
        <w:t xml:space="preserve">.  </w:t>
      </w:r>
      <w:r w:rsidR="00DA3EAC">
        <w:rPr>
          <w:rFonts w:ascii="Palatino Linotype" w:hAnsi="Palatino Linotype"/>
        </w:rPr>
        <w:t xml:space="preserve">Our </w:t>
      </w:r>
      <w:r w:rsidR="00617A11" w:rsidRPr="004B6605">
        <w:rPr>
          <w:rFonts w:ascii="Palatino Linotype" w:hAnsi="Palatino Linotype"/>
        </w:rPr>
        <w:t>modeling system includes a much larger area</w:t>
      </w:r>
      <w:r w:rsidR="002F020E">
        <w:rPr>
          <w:rFonts w:ascii="Palatino Linotype" w:hAnsi="Palatino Linotype"/>
        </w:rPr>
        <w:t xml:space="preserve"> (about 11,000 square miles)</w:t>
      </w:r>
      <w:r w:rsidR="00617A11" w:rsidRPr="004B6605">
        <w:rPr>
          <w:rFonts w:ascii="Palatino Linotype" w:hAnsi="Palatino Linotype"/>
        </w:rPr>
        <w:t xml:space="preserve"> to encompass, to the extent practicable, the</w:t>
      </w:r>
      <w:r w:rsidR="00DE5B80">
        <w:rPr>
          <w:rFonts w:ascii="Palatino Linotype" w:hAnsi="Palatino Linotype"/>
        </w:rPr>
        <w:t xml:space="preserve"> daily domestic economy</w:t>
      </w:r>
      <w:r w:rsidR="00F60F6A">
        <w:rPr>
          <w:rFonts w:ascii="Palatino Linotype" w:hAnsi="Palatino Linotype"/>
        </w:rPr>
        <w:t xml:space="preserve"> </w:t>
      </w:r>
      <w:r w:rsidR="00DE5B80">
        <w:rPr>
          <w:rFonts w:ascii="Palatino Linotype" w:hAnsi="Palatino Linotype"/>
        </w:rPr>
        <w:t xml:space="preserve">of </w:t>
      </w:r>
      <w:r w:rsidR="00617A11" w:rsidRPr="004B6605">
        <w:rPr>
          <w:rFonts w:ascii="Palatino Linotype" w:hAnsi="Palatino Linotype"/>
        </w:rPr>
        <w:t>the region</w:t>
      </w:r>
      <w:r w:rsidR="00C253E2">
        <w:rPr>
          <w:rFonts w:ascii="Palatino Linotype" w:hAnsi="Palatino Linotype"/>
        </w:rPr>
        <w:t>.</w:t>
      </w:r>
      <w:r w:rsidR="005F59A0">
        <w:rPr>
          <w:rStyle w:val="EndnoteReference"/>
          <w:rFonts w:ascii="Palatino Linotype" w:hAnsi="Palatino Linotype"/>
        </w:rPr>
        <w:endnoteReference w:id="1"/>
      </w:r>
      <w:r w:rsidR="00617A11" w:rsidRPr="004B6605">
        <w:rPr>
          <w:rFonts w:ascii="Palatino Linotype" w:hAnsi="Palatino Linotype"/>
        </w:rPr>
        <w:t xml:space="preserve">  This area includes:</w:t>
      </w:r>
      <w:r w:rsidR="0073366B" w:rsidRPr="0073366B">
        <w:rPr>
          <w:rFonts w:ascii="Palatino Linotype" w:hAnsi="Palatino Linotype"/>
          <w:noProof/>
        </w:rPr>
        <w:t xml:space="preserve"> </w:t>
      </w:r>
    </w:p>
    <w:p w:rsidR="00B63C5C" w:rsidRDefault="00B63C5C" w:rsidP="00055F2E">
      <w:pPr>
        <w:pStyle w:val="ListParagraph"/>
        <w:numPr>
          <w:ilvl w:val="0"/>
          <w:numId w:val="2"/>
        </w:numPr>
        <w:rPr>
          <w:rFonts w:ascii="Palatino Linotype" w:hAnsi="Palatino Linotype"/>
        </w:rPr>
      </w:pPr>
      <w:r>
        <w:rPr>
          <w:rFonts w:ascii="Palatino Linotype" w:hAnsi="Palatino Linotype"/>
        </w:rPr>
        <w:t>7 full counties that comprise the CMAP planning region (</w:t>
      </w:r>
      <w:r w:rsidRPr="004B6605">
        <w:rPr>
          <w:rFonts w:ascii="Palatino Linotype" w:hAnsi="Palatino Linotype"/>
        </w:rPr>
        <w:t xml:space="preserve">Cook, DuPage, </w:t>
      </w:r>
      <w:r w:rsidR="00DA3EAC" w:rsidRPr="004B6605">
        <w:rPr>
          <w:rFonts w:ascii="Palatino Linotype" w:hAnsi="Palatino Linotype"/>
        </w:rPr>
        <w:t>Kendall</w:t>
      </w:r>
      <w:r w:rsidR="00DA3EAC">
        <w:rPr>
          <w:rFonts w:ascii="Palatino Linotype" w:hAnsi="Palatino Linotype"/>
        </w:rPr>
        <w:t>,</w:t>
      </w:r>
      <w:r w:rsidR="00DA3EAC" w:rsidRPr="004B6605">
        <w:rPr>
          <w:rFonts w:ascii="Palatino Linotype" w:hAnsi="Palatino Linotype"/>
        </w:rPr>
        <w:t xml:space="preserve"> </w:t>
      </w:r>
      <w:r w:rsidR="00DA3EAC">
        <w:rPr>
          <w:rFonts w:ascii="Palatino Linotype" w:hAnsi="Palatino Linotype"/>
        </w:rPr>
        <w:t>Lake, Kane, McHenry, Will</w:t>
      </w:r>
      <w:r>
        <w:rPr>
          <w:rFonts w:ascii="Palatino Linotype" w:hAnsi="Palatino Linotype"/>
        </w:rPr>
        <w:t>)</w:t>
      </w:r>
      <w:r w:rsidR="00C253E2">
        <w:rPr>
          <w:rFonts w:ascii="Palatino Linotype" w:hAnsi="Palatino Linotype"/>
        </w:rPr>
        <w:t>.</w:t>
      </w:r>
    </w:p>
    <w:p w:rsidR="00617A11" w:rsidRPr="004B6605" w:rsidRDefault="00CB1638" w:rsidP="004B6605">
      <w:pPr>
        <w:pStyle w:val="ListParagraph"/>
        <w:numPr>
          <w:ilvl w:val="0"/>
          <w:numId w:val="2"/>
        </w:numPr>
        <w:rPr>
          <w:rFonts w:ascii="Palatino Linotype" w:hAnsi="Palatino Linotype"/>
        </w:rPr>
      </w:pPr>
      <w:r>
        <w:rPr>
          <w:rFonts w:ascii="Palatino Linotype" w:hAnsi="Palatino Linotype"/>
        </w:rPr>
        <w:t>5</w:t>
      </w:r>
      <w:r w:rsidR="00617A11" w:rsidRPr="004B6605">
        <w:rPr>
          <w:rFonts w:ascii="Palatino Linotype" w:hAnsi="Palatino Linotype"/>
        </w:rPr>
        <w:t xml:space="preserve"> full Illinois counties</w:t>
      </w:r>
      <w:r w:rsidR="00B63C5C">
        <w:rPr>
          <w:rFonts w:ascii="Palatino Linotype" w:hAnsi="Palatino Linotype"/>
        </w:rPr>
        <w:t xml:space="preserve"> </w:t>
      </w:r>
      <w:r w:rsidR="00055F2E">
        <w:rPr>
          <w:rFonts w:ascii="Palatino Linotype" w:hAnsi="Palatino Linotype"/>
        </w:rPr>
        <w:t>adjacent</w:t>
      </w:r>
      <w:r w:rsidR="00B63C5C">
        <w:rPr>
          <w:rFonts w:ascii="Palatino Linotype" w:hAnsi="Palatino Linotype"/>
        </w:rPr>
        <w:t xml:space="preserve"> the CMAP planning region</w:t>
      </w:r>
      <w:r w:rsidR="00617A11" w:rsidRPr="004B6605">
        <w:rPr>
          <w:rFonts w:ascii="Palatino Linotype" w:hAnsi="Palatino Linotype"/>
        </w:rPr>
        <w:t xml:space="preserve"> (</w:t>
      </w:r>
      <w:r>
        <w:rPr>
          <w:rFonts w:ascii="Palatino Linotype" w:hAnsi="Palatino Linotype"/>
        </w:rPr>
        <w:t xml:space="preserve">DeKalb, </w:t>
      </w:r>
      <w:r w:rsidR="00055F2E">
        <w:rPr>
          <w:rFonts w:ascii="Palatino Linotype" w:hAnsi="Palatino Linotype"/>
        </w:rPr>
        <w:t xml:space="preserve">Grundy, Kankakee, Boone and </w:t>
      </w:r>
      <w:r w:rsidR="00617A11" w:rsidRPr="004B6605">
        <w:rPr>
          <w:rFonts w:ascii="Palatino Linotype" w:hAnsi="Palatino Linotype"/>
        </w:rPr>
        <w:t>Winnebago)</w:t>
      </w:r>
      <w:r w:rsidR="00C253E2">
        <w:rPr>
          <w:rFonts w:ascii="Palatino Linotype" w:hAnsi="Palatino Linotype"/>
        </w:rPr>
        <w:t>.</w:t>
      </w:r>
    </w:p>
    <w:p w:rsidR="00617A11" w:rsidRPr="004B6605" w:rsidRDefault="00617A11" w:rsidP="004B6605">
      <w:pPr>
        <w:pStyle w:val="ListParagraph"/>
        <w:numPr>
          <w:ilvl w:val="0"/>
          <w:numId w:val="2"/>
        </w:numPr>
        <w:rPr>
          <w:rFonts w:ascii="Palatino Linotype" w:hAnsi="Palatino Linotype"/>
        </w:rPr>
      </w:pPr>
      <w:r w:rsidRPr="004B6605">
        <w:rPr>
          <w:rFonts w:ascii="Palatino Linotype" w:hAnsi="Palatino Linotype"/>
        </w:rPr>
        <w:t>3</w:t>
      </w:r>
      <w:r w:rsidR="00B63C5C">
        <w:rPr>
          <w:rFonts w:ascii="Palatino Linotype" w:hAnsi="Palatino Linotype"/>
        </w:rPr>
        <w:t xml:space="preserve"> additional</w:t>
      </w:r>
      <w:r w:rsidRPr="004B6605">
        <w:rPr>
          <w:rFonts w:ascii="Palatino Linotype" w:hAnsi="Palatino Linotype"/>
        </w:rPr>
        <w:t xml:space="preserve"> partial Illinois </w:t>
      </w:r>
      <w:r w:rsidR="00DE5B80">
        <w:rPr>
          <w:rFonts w:ascii="Palatino Linotype" w:hAnsi="Palatino Linotype"/>
        </w:rPr>
        <w:t>counties</w:t>
      </w:r>
      <w:r w:rsidR="00B63C5C">
        <w:rPr>
          <w:rFonts w:ascii="Palatino Linotype" w:hAnsi="Palatino Linotype"/>
        </w:rPr>
        <w:t xml:space="preserve"> </w:t>
      </w:r>
      <w:r w:rsidRPr="004B6605">
        <w:rPr>
          <w:rFonts w:ascii="Palatino Linotype" w:hAnsi="Palatino Linotype"/>
        </w:rPr>
        <w:t>(Lee, Ogle, LaSalle)</w:t>
      </w:r>
      <w:r w:rsidR="00C253E2">
        <w:rPr>
          <w:rFonts w:ascii="Palatino Linotype" w:hAnsi="Palatino Linotype"/>
        </w:rPr>
        <w:t>.</w:t>
      </w:r>
    </w:p>
    <w:p w:rsidR="00617A11" w:rsidRPr="004B6605" w:rsidRDefault="00617A11" w:rsidP="004B6605">
      <w:pPr>
        <w:pStyle w:val="ListParagraph"/>
        <w:numPr>
          <w:ilvl w:val="0"/>
          <w:numId w:val="2"/>
        </w:numPr>
        <w:rPr>
          <w:rFonts w:ascii="Palatino Linotype" w:hAnsi="Palatino Linotype"/>
        </w:rPr>
      </w:pPr>
      <w:r w:rsidRPr="004B6605">
        <w:rPr>
          <w:rFonts w:ascii="Palatino Linotype" w:hAnsi="Palatino Linotype"/>
        </w:rPr>
        <w:t>3 full Wisconsin</w:t>
      </w:r>
      <w:r w:rsidR="00DE5B80">
        <w:rPr>
          <w:rFonts w:ascii="Palatino Linotype" w:hAnsi="Palatino Linotype"/>
        </w:rPr>
        <w:t xml:space="preserve"> counties</w:t>
      </w:r>
      <w:r w:rsidRPr="004B6605">
        <w:rPr>
          <w:rFonts w:ascii="Palatino Linotype" w:hAnsi="Palatino Linotype"/>
        </w:rPr>
        <w:t xml:space="preserve"> (Kenosha, Racine, Walworth)</w:t>
      </w:r>
      <w:r w:rsidR="00C253E2">
        <w:rPr>
          <w:rFonts w:ascii="Palatino Linotype" w:hAnsi="Palatino Linotype"/>
        </w:rPr>
        <w:t>.</w:t>
      </w:r>
    </w:p>
    <w:p w:rsidR="00617A11" w:rsidRPr="004B6605" w:rsidRDefault="00617A11" w:rsidP="004B6605">
      <w:pPr>
        <w:pStyle w:val="ListParagraph"/>
        <w:numPr>
          <w:ilvl w:val="0"/>
          <w:numId w:val="2"/>
        </w:numPr>
        <w:rPr>
          <w:rFonts w:ascii="Palatino Linotype" w:hAnsi="Palatino Linotype"/>
        </w:rPr>
      </w:pPr>
      <w:r w:rsidRPr="004B6605">
        <w:rPr>
          <w:rFonts w:ascii="Palatino Linotype" w:hAnsi="Palatino Linotype"/>
        </w:rPr>
        <w:t>3 full Indiana</w:t>
      </w:r>
      <w:r w:rsidR="00DE5B80">
        <w:rPr>
          <w:rFonts w:ascii="Palatino Linotype" w:hAnsi="Palatino Linotype"/>
        </w:rPr>
        <w:t xml:space="preserve"> counties</w:t>
      </w:r>
      <w:r w:rsidRPr="004B6605">
        <w:rPr>
          <w:rFonts w:ascii="Palatino Linotype" w:hAnsi="Palatino Linotype"/>
        </w:rPr>
        <w:t xml:space="preserve"> (Lake, Porter, LaPorte)</w:t>
      </w:r>
      <w:r w:rsidR="00C253E2">
        <w:rPr>
          <w:rFonts w:ascii="Palatino Linotype" w:hAnsi="Palatino Linotype"/>
        </w:rPr>
        <w:t>.</w:t>
      </w:r>
    </w:p>
    <w:p w:rsidR="0073366B" w:rsidRDefault="0073366B">
      <w:pPr>
        <w:rPr>
          <w:rFonts w:ascii="Palatino Linotype" w:hAnsi="Palatino Linotype"/>
        </w:rPr>
      </w:pPr>
      <w:r>
        <w:rPr>
          <w:rFonts w:ascii="Palatino Linotype" w:hAnsi="Palatino Linotype"/>
        </w:rPr>
        <w:br w:type="page"/>
      </w:r>
    </w:p>
    <w:p w:rsidR="00075A7B" w:rsidRDefault="00075A7B" w:rsidP="00075A7B">
      <w:pPr>
        <w:pStyle w:val="Caption"/>
        <w:rPr>
          <w:rFonts w:ascii="Palatino Linotype" w:hAnsi="Palatino Linotype"/>
        </w:rPr>
      </w:pPr>
      <w:bookmarkStart w:id="5" w:name="_Toc284935624"/>
      <w:r>
        <w:lastRenderedPageBreak/>
        <w:t xml:space="preserve">Figure </w:t>
      </w:r>
      <w:r w:rsidR="003344CA">
        <w:fldChar w:fldCharType="begin"/>
      </w:r>
      <w:r w:rsidR="003344CA">
        <w:instrText xml:space="preserve"> SEQ Figure \* ARABIC </w:instrText>
      </w:r>
      <w:r w:rsidR="003344CA">
        <w:fldChar w:fldCharType="separate"/>
      </w:r>
      <w:r w:rsidR="009B0830">
        <w:rPr>
          <w:noProof/>
        </w:rPr>
        <w:t>1</w:t>
      </w:r>
      <w:r w:rsidR="003344CA">
        <w:rPr>
          <w:noProof/>
        </w:rPr>
        <w:fldChar w:fldCharType="end"/>
      </w:r>
      <w:r>
        <w:t>:</w:t>
      </w:r>
      <w:r w:rsidR="001F1569">
        <w:t xml:space="preserve"> </w:t>
      </w:r>
      <w:r>
        <w:t xml:space="preserve"> CMAP Modeling Geography</w:t>
      </w:r>
      <w:bookmarkEnd w:id="5"/>
    </w:p>
    <w:p w:rsidR="0073366B" w:rsidRDefault="0073366B" w:rsidP="00617A11">
      <w:pPr>
        <w:rPr>
          <w:rFonts w:ascii="Palatino Linotype" w:hAnsi="Palatino Linotype"/>
        </w:rPr>
      </w:pPr>
      <w:r>
        <w:rPr>
          <w:rFonts w:ascii="Palatino Linotype" w:hAnsi="Palatino Linotype"/>
          <w:noProof/>
        </w:rPr>
        <w:drawing>
          <wp:anchor distT="0" distB="0" distL="114300" distR="114300" simplePos="0" relativeHeight="251661312" behindDoc="0" locked="0" layoutInCell="1" allowOverlap="1" wp14:anchorId="439EA531" wp14:editId="38340EDC">
            <wp:simplePos x="0" y="0"/>
            <wp:positionH relativeFrom="column">
              <wp:posOffset>19050</wp:posOffset>
            </wp:positionH>
            <wp:positionV relativeFrom="paragraph">
              <wp:posOffset>15240</wp:posOffset>
            </wp:positionV>
            <wp:extent cx="4210050" cy="3819525"/>
            <wp:effectExtent l="19050" t="0" r="0" b="0"/>
            <wp:wrapSquare wrapText="bothSides"/>
            <wp:docPr id="19" name="Picture 7" descr="C:\Users\kwie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wies\Desktop\Untitled.jpg"/>
                    <pic:cNvPicPr>
                      <a:picLocks noChangeAspect="1" noChangeArrowheads="1"/>
                    </pic:cNvPicPr>
                  </pic:nvPicPr>
                  <pic:blipFill>
                    <a:blip r:embed="rId13" cstate="print"/>
                    <a:srcRect l="4366" t="17817" r="3742" b="17817"/>
                    <a:stretch>
                      <a:fillRect/>
                    </a:stretch>
                  </pic:blipFill>
                  <pic:spPr bwMode="auto">
                    <a:xfrm>
                      <a:off x="0" y="0"/>
                      <a:ext cx="4210050" cy="3819525"/>
                    </a:xfrm>
                    <a:prstGeom prst="rect">
                      <a:avLst/>
                    </a:prstGeom>
                    <a:noFill/>
                    <a:ln w="9525">
                      <a:noFill/>
                      <a:miter lim="800000"/>
                      <a:headEnd/>
                      <a:tailEnd/>
                    </a:ln>
                  </pic:spPr>
                </pic:pic>
              </a:graphicData>
            </a:graphic>
          </wp:anchor>
        </w:drawing>
      </w:r>
      <w:r w:rsidR="00C77DE7">
        <w:rPr>
          <w:rFonts w:ascii="Palatino Linotype" w:hAnsi="Palatino Linotype"/>
        </w:rPr>
        <w:t xml:space="preserve">Geographic analyses of population and employment are based on statistical modeling units called </w:t>
      </w:r>
      <w:r w:rsidR="00C77DE7" w:rsidRPr="00FB55AD">
        <w:rPr>
          <w:rFonts w:ascii="Palatino Linotype" w:hAnsi="Palatino Linotype"/>
        </w:rPr>
        <w:t>subzones</w:t>
      </w:r>
      <w:r w:rsidR="00C77DE7">
        <w:rPr>
          <w:rFonts w:ascii="Palatino Linotype" w:hAnsi="Palatino Linotype"/>
        </w:rPr>
        <w:t xml:space="preserve">.  </w:t>
      </w:r>
      <w:r w:rsidR="00617A11" w:rsidRPr="004B6605">
        <w:rPr>
          <w:rFonts w:ascii="Palatino Linotype" w:hAnsi="Palatino Linotype"/>
        </w:rPr>
        <w:t xml:space="preserve">The subzones covering downtown Chicago are comprised of a regular 1/16 </w:t>
      </w:r>
      <w:r w:rsidR="000F293B">
        <w:rPr>
          <w:rFonts w:ascii="Palatino Linotype" w:hAnsi="Palatino Linotype"/>
        </w:rPr>
        <w:t xml:space="preserve">square </w:t>
      </w:r>
      <w:r w:rsidR="00617A11" w:rsidRPr="004B6605">
        <w:rPr>
          <w:rFonts w:ascii="Palatino Linotype" w:hAnsi="Palatino Linotype"/>
        </w:rPr>
        <w:t>mile grid</w:t>
      </w:r>
      <w:r w:rsidR="00055F2E">
        <w:rPr>
          <w:rFonts w:ascii="Palatino Linotype" w:hAnsi="Palatino Linotype"/>
        </w:rPr>
        <w:t xml:space="preserve"> (approximately 4 square blocks)</w:t>
      </w:r>
      <w:r w:rsidR="00617A11" w:rsidRPr="004B6605">
        <w:rPr>
          <w:rFonts w:ascii="Palatino Linotype" w:hAnsi="Palatino Linotype"/>
        </w:rPr>
        <w:t xml:space="preserve">.  These and the remaining </w:t>
      </w:r>
      <w:r w:rsidR="000F293B">
        <w:rPr>
          <w:rFonts w:ascii="Palatino Linotype" w:hAnsi="Palatino Linotype"/>
        </w:rPr>
        <w:t>seven counties</w:t>
      </w:r>
      <w:r w:rsidR="00617A11" w:rsidRPr="004B6605">
        <w:rPr>
          <w:rFonts w:ascii="Palatino Linotype" w:hAnsi="Palatino Linotype"/>
        </w:rPr>
        <w:t xml:space="preserve"> of the </w:t>
      </w:r>
      <w:r w:rsidR="000F293B">
        <w:rPr>
          <w:rFonts w:ascii="Palatino Linotype" w:hAnsi="Palatino Linotype"/>
        </w:rPr>
        <w:t>CMAP planning</w:t>
      </w:r>
      <w:r w:rsidR="00617A11" w:rsidRPr="004B6605">
        <w:rPr>
          <w:rFonts w:ascii="Palatino Linotype" w:hAnsi="Palatino Linotype"/>
        </w:rPr>
        <w:t xml:space="preserve"> region follow a ¼ </w:t>
      </w:r>
      <w:r w:rsidR="00055F2E">
        <w:rPr>
          <w:rFonts w:ascii="Palatino Linotype" w:hAnsi="Palatino Linotype"/>
        </w:rPr>
        <w:t xml:space="preserve">square </w:t>
      </w:r>
      <w:r w:rsidR="00617A11" w:rsidRPr="004B6605">
        <w:rPr>
          <w:rFonts w:ascii="Palatino Linotype" w:hAnsi="Palatino Linotype"/>
        </w:rPr>
        <w:t>mile grid based on</w:t>
      </w:r>
      <w:r w:rsidR="00870836">
        <w:rPr>
          <w:rFonts w:ascii="Palatino Linotype" w:hAnsi="Palatino Linotype"/>
        </w:rPr>
        <w:t xml:space="preserve"> </w:t>
      </w:r>
      <w:r w:rsidR="00E82781">
        <w:rPr>
          <w:rFonts w:ascii="Palatino Linotype" w:hAnsi="Palatino Linotype"/>
        </w:rPr>
        <w:t>Public Land Survey quarter-</w:t>
      </w:r>
      <w:r w:rsidR="00617A11" w:rsidRPr="004B6605">
        <w:rPr>
          <w:rFonts w:ascii="Palatino Linotype" w:hAnsi="Palatino Linotype"/>
        </w:rPr>
        <w:t>section</w:t>
      </w:r>
      <w:r w:rsidR="00E82781">
        <w:rPr>
          <w:rFonts w:ascii="Palatino Linotype" w:hAnsi="Palatino Linotype"/>
        </w:rPr>
        <w:t>s</w:t>
      </w:r>
      <w:r w:rsidR="00617A11" w:rsidRPr="004B6605">
        <w:rPr>
          <w:rFonts w:ascii="Palatino Linotype" w:hAnsi="Palatino Linotype"/>
        </w:rPr>
        <w:t xml:space="preserve"> established by the </w:t>
      </w:r>
      <w:r w:rsidR="00E82781">
        <w:rPr>
          <w:rFonts w:ascii="Palatino Linotype" w:hAnsi="Palatino Linotype"/>
        </w:rPr>
        <w:t>General Land Office in the 1800’s</w:t>
      </w:r>
      <w:r w:rsidR="00617A11" w:rsidRPr="004B6605">
        <w:rPr>
          <w:rFonts w:ascii="Palatino Linotype" w:hAnsi="Palatino Linotype"/>
        </w:rPr>
        <w:t>.  The remaining external counties are represented at higher aggregations of survey geography.</w:t>
      </w:r>
      <w:r w:rsidR="00DA3EAC">
        <w:rPr>
          <w:rFonts w:ascii="Palatino Linotype" w:hAnsi="Palatino Linotype"/>
        </w:rPr>
        <w:t xml:space="preserve">  In the current modeling system</w:t>
      </w:r>
      <w:r w:rsidR="00CB1638">
        <w:rPr>
          <w:rFonts w:ascii="Palatino Linotype" w:hAnsi="Palatino Linotype"/>
        </w:rPr>
        <w:t xml:space="preserve"> (subzone09)</w:t>
      </w:r>
      <w:r w:rsidR="00DA3EAC">
        <w:rPr>
          <w:rFonts w:ascii="Palatino Linotype" w:hAnsi="Palatino Linotype"/>
        </w:rPr>
        <w:t>, there are 16,819 subzones.</w:t>
      </w:r>
    </w:p>
    <w:p w:rsidR="0073366B" w:rsidRDefault="0073366B">
      <w:pPr>
        <w:rPr>
          <w:rFonts w:ascii="Palatino Linotype" w:hAnsi="Palatino Linotype"/>
        </w:rPr>
      </w:pPr>
      <w:r>
        <w:rPr>
          <w:rFonts w:ascii="Palatino Linotype" w:hAnsi="Palatino Linotype"/>
        </w:rPr>
        <w:br w:type="page"/>
      </w:r>
    </w:p>
    <w:p w:rsidR="00D55DA7" w:rsidRDefault="00514064" w:rsidP="00075A7B">
      <w:pPr>
        <w:pStyle w:val="Heading1"/>
        <w:rPr>
          <w:rFonts w:ascii="Palatino Linotype" w:hAnsi="Palatino Linotype"/>
        </w:rPr>
      </w:pPr>
      <w:bookmarkStart w:id="6" w:name="_Toc253553608"/>
      <w:bookmarkStart w:id="7" w:name="_Toc284935550"/>
      <w:r>
        <w:rPr>
          <w:rFonts w:ascii="Palatino Linotype" w:hAnsi="Palatino Linotype"/>
        </w:rPr>
        <w:lastRenderedPageBreak/>
        <w:t xml:space="preserve">Base </w:t>
      </w:r>
      <w:r w:rsidR="00D902B4">
        <w:rPr>
          <w:rFonts w:ascii="Palatino Linotype" w:hAnsi="Palatino Linotype"/>
        </w:rPr>
        <w:t>c</w:t>
      </w:r>
      <w:r>
        <w:rPr>
          <w:rFonts w:ascii="Palatino Linotype" w:hAnsi="Palatino Linotype"/>
        </w:rPr>
        <w:t>onditions</w:t>
      </w:r>
      <w:bookmarkEnd w:id="6"/>
      <w:bookmarkEnd w:id="7"/>
    </w:p>
    <w:p w:rsidR="003B245B" w:rsidRDefault="00C253E2" w:rsidP="00036BDA">
      <w:pPr>
        <w:rPr>
          <w:rFonts w:ascii="Palatino Linotype" w:hAnsi="Palatino Linotype"/>
        </w:rPr>
      </w:pPr>
      <w:r>
        <w:rPr>
          <w:rFonts w:ascii="Palatino Linotype" w:hAnsi="Palatino Linotype"/>
        </w:rPr>
        <w:t>T</w:t>
      </w:r>
      <w:r w:rsidR="00036BDA">
        <w:rPr>
          <w:rFonts w:ascii="Palatino Linotype" w:hAnsi="Palatino Linotype"/>
        </w:rPr>
        <w:t xml:space="preserve">he base year for </w:t>
      </w:r>
      <w:r w:rsidR="00055F2E">
        <w:rPr>
          <w:rFonts w:ascii="Palatino Linotype" w:hAnsi="Palatino Linotype"/>
        </w:rPr>
        <w:t>the long range plan</w:t>
      </w:r>
      <w:r w:rsidR="00036BDA">
        <w:rPr>
          <w:rFonts w:ascii="Palatino Linotype" w:hAnsi="Palatino Linotype"/>
        </w:rPr>
        <w:t xml:space="preserve"> projections</w:t>
      </w:r>
      <w:r>
        <w:rPr>
          <w:rFonts w:ascii="Palatino Linotype" w:hAnsi="Palatino Linotype"/>
        </w:rPr>
        <w:t xml:space="preserve"> is 2010</w:t>
      </w:r>
      <w:r w:rsidR="00036BDA">
        <w:rPr>
          <w:rFonts w:ascii="Palatino Linotype" w:hAnsi="Palatino Linotype"/>
        </w:rPr>
        <w:t xml:space="preserve">. </w:t>
      </w:r>
      <w:r w:rsidR="00055F2E">
        <w:rPr>
          <w:rFonts w:ascii="Palatino Linotype" w:hAnsi="Palatino Linotype"/>
        </w:rPr>
        <w:t xml:space="preserve">  The current planning horizon is 2040. </w:t>
      </w:r>
      <w:r w:rsidR="00036BDA">
        <w:rPr>
          <w:rFonts w:ascii="Palatino Linotype" w:hAnsi="Palatino Linotype"/>
        </w:rPr>
        <w:t xml:space="preserve"> </w:t>
      </w:r>
      <w:r w:rsidR="004347B2">
        <w:rPr>
          <w:rFonts w:ascii="Palatino Linotype" w:hAnsi="Palatino Linotype"/>
        </w:rPr>
        <w:t xml:space="preserve">To begin the forecasting process, </w:t>
      </w:r>
      <w:r w:rsidR="00870836">
        <w:rPr>
          <w:rFonts w:ascii="Palatino Linotype" w:hAnsi="Palatino Linotype"/>
        </w:rPr>
        <w:t xml:space="preserve">base year </w:t>
      </w:r>
      <w:r w:rsidR="00BC5676">
        <w:rPr>
          <w:rFonts w:ascii="Palatino Linotype" w:hAnsi="Palatino Linotype"/>
        </w:rPr>
        <w:t>population</w:t>
      </w:r>
      <w:r w:rsidR="00036BDA">
        <w:rPr>
          <w:rFonts w:ascii="Palatino Linotype" w:hAnsi="Palatino Linotype"/>
        </w:rPr>
        <w:t xml:space="preserve"> and employment estimates by subzone</w:t>
      </w:r>
      <w:r w:rsidR="003B245B">
        <w:rPr>
          <w:rFonts w:ascii="Palatino Linotype" w:hAnsi="Palatino Linotype"/>
        </w:rPr>
        <w:t xml:space="preserve"> </w:t>
      </w:r>
      <w:r w:rsidR="000A318E">
        <w:rPr>
          <w:rFonts w:ascii="Palatino Linotype" w:hAnsi="Palatino Linotype"/>
        </w:rPr>
        <w:t>were</w:t>
      </w:r>
      <w:r w:rsidR="003B245B">
        <w:rPr>
          <w:rFonts w:ascii="Palatino Linotype" w:hAnsi="Palatino Linotype"/>
        </w:rPr>
        <w:t xml:space="preserve"> validated against observed data sources.</w:t>
      </w:r>
    </w:p>
    <w:p w:rsidR="00036BDA" w:rsidRDefault="0060439A" w:rsidP="00036BDA">
      <w:pPr>
        <w:pStyle w:val="Heading2"/>
        <w:rPr>
          <w:rFonts w:ascii="Palatino Linotype" w:hAnsi="Palatino Linotype"/>
        </w:rPr>
      </w:pPr>
      <w:bookmarkStart w:id="8" w:name="_Toc253553609"/>
      <w:bookmarkStart w:id="9" w:name="_Toc284935551"/>
      <w:r>
        <w:rPr>
          <w:rFonts w:ascii="Palatino Linotype" w:hAnsi="Palatino Linotype"/>
        </w:rPr>
        <w:t xml:space="preserve">Base Year (2010) </w:t>
      </w:r>
      <w:r w:rsidR="00036BDA">
        <w:rPr>
          <w:rFonts w:ascii="Palatino Linotype" w:hAnsi="Palatino Linotype"/>
        </w:rPr>
        <w:t>Population</w:t>
      </w:r>
      <w:bookmarkEnd w:id="8"/>
      <w:r>
        <w:rPr>
          <w:rFonts w:ascii="Palatino Linotype" w:hAnsi="Palatino Linotype"/>
        </w:rPr>
        <w:t xml:space="preserve"> Validation</w:t>
      </w:r>
      <w:bookmarkEnd w:id="9"/>
      <w:r w:rsidR="005D51F9">
        <w:rPr>
          <w:rFonts w:ascii="Palatino Linotype" w:hAnsi="Palatino Linotype"/>
        </w:rPr>
        <w:t xml:space="preserve"> </w:t>
      </w:r>
    </w:p>
    <w:p w:rsidR="00245B66" w:rsidRDefault="000A318E" w:rsidP="00036BDA">
      <w:pPr>
        <w:rPr>
          <w:rFonts w:ascii="Palatino Linotype" w:hAnsi="Palatino Linotype"/>
        </w:rPr>
      </w:pPr>
      <w:r>
        <w:rPr>
          <w:rFonts w:ascii="Palatino Linotype" w:hAnsi="Palatino Linotype"/>
        </w:rPr>
        <w:t xml:space="preserve">Characteristics of </w:t>
      </w:r>
      <w:r w:rsidR="00B54157">
        <w:rPr>
          <w:rFonts w:ascii="Palatino Linotype" w:hAnsi="Palatino Linotype"/>
        </w:rPr>
        <w:t>the population</w:t>
      </w:r>
      <w:r w:rsidR="003B245B">
        <w:rPr>
          <w:rFonts w:ascii="Palatino Linotype" w:hAnsi="Palatino Linotype"/>
        </w:rPr>
        <w:t xml:space="preserve"> </w:t>
      </w:r>
      <w:r w:rsidR="000F293B">
        <w:rPr>
          <w:rFonts w:ascii="Palatino Linotype" w:hAnsi="Palatino Linotype"/>
        </w:rPr>
        <w:t>originate</w:t>
      </w:r>
      <w:r w:rsidR="00245B66">
        <w:rPr>
          <w:rFonts w:ascii="Palatino Linotype" w:hAnsi="Palatino Linotype"/>
        </w:rPr>
        <w:t xml:space="preserve"> </w:t>
      </w:r>
      <w:r w:rsidR="003B245B">
        <w:rPr>
          <w:rFonts w:ascii="Palatino Linotype" w:hAnsi="Palatino Linotype"/>
        </w:rPr>
        <w:t>with the</w:t>
      </w:r>
      <w:r w:rsidR="00245B66">
        <w:rPr>
          <w:rFonts w:ascii="Palatino Linotype" w:hAnsi="Palatino Linotype"/>
        </w:rPr>
        <w:t xml:space="preserve"> </w:t>
      </w:r>
      <w:r w:rsidR="003B245B">
        <w:rPr>
          <w:rFonts w:ascii="Palatino Linotype" w:hAnsi="Palatino Linotype"/>
        </w:rPr>
        <w:t>decennial Census.</w:t>
      </w:r>
      <w:r w:rsidR="00245B66">
        <w:rPr>
          <w:rFonts w:ascii="Palatino Linotype" w:hAnsi="Palatino Linotype"/>
        </w:rPr>
        <w:t xml:space="preserve">  The most recent complete</w:t>
      </w:r>
      <w:r w:rsidR="009C62F7">
        <w:rPr>
          <w:rFonts w:ascii="Palatino Linotype" w:hAnsi="Palatino Linotype"/>
        </w:rPr>
        <w:t xml:space="preserve"> population</w:t>
      </w:r>
      <w:r w:rsidR="00245B66">
        <w:rPr>
          <w:rFonts w:ascii="Palatino Linotype" w:hAnsi="Palatino Linotype"/>
        </w:rPr>
        <w:t xml:space="preserve"> enumeration is for </w:t>
      </w:r>
      <w:r w:rsidR="0012720B">
        <w:rPr>
          <w:rFonts w:ascii="Palatino Linotype" w:hAnsi="Palatino Linotype"/>
        </w:rPr>
        <w:t xml:space="preserve">the year </w:t>
      </w:r>
      <w:r w:rsidR="00245B66">
        <w:rPr>
          <w:rFonts w:ascii="Palatino Linotype" w:hAnsi="Palatino Linotype"/>
        </w:rPr>
        <w:t xml:space="preserve">2000. </w:t>
      </w:r>
      <w:r w:rsidR="003B245B">
        <w:rPr>
          <w:rFonts w:ascii="Palatino Linotype" w:hAnsi="Palatino Linotype"/>
        </w:rPr>
        <w:t xml:space="preserve"> 2010 Census results</w:t>
      </w:r>
      <w:r w:rsidR="00245B66">
        <w:rPr>
          <w:rFonts w:ascii="Palatino Linotype" w:hAnsi="Palatino Linotype"/>
        </w:rPr>
        <w:t xml:space="preserve"> at the subzone level</w:t>
      </w:r>
      <w:r w:rsidR="003B245B">
        <w:rPr>
          <w:rFonts w:ascii="Palatino Linotype" w:hAnsi="Palatino Linotype"/>
        </w:rPr>
        <w:t xml:space="preserve"> will not be available </w:t>
      </w:r>
      <w:r w:rsidR="00245B66">
        <w:rPr>
          <w:rFonts w:ascii="Palatino Linotype" w:hAnsi="Palatino Linotype"/>
        </w:rPr>
        <w:t>until 2011</w:t>
      </w:r>
      <w:r w:rsidR="003B245B">
        <w:rPr>
          <w:rFonts w:ascii="Palatino Linotype" w:hAnsi="Palatino Linotype"/>
        </w:rPr>
        <w:t xml:space="preserve">. </w:t>
      </w:r>
      <w:r w:rsidR="004347B2">
        <w:rPr>
          <w:rFonts w:ascii="Palatino Linotype" w:hAnsi="Palatino Linotype"/>
        </w:rPr>
        <w:t xml:space="preserve"> Therefore, 2010 population estimates </w:t>
      </w:r>
      <w:r>
        <w:rPr>
          <w:rFonts w:ascii="Palatino Linotype" w:hAnsi="Palatino Linotype"/>
        </w:rPr>
        <w:t>were</w:t>
      </w:r>
      <w:r w:rsidR="004347B2">
        <w:rPr>
          <w:rFonts w:ascii="Palatino Linotype" w:hAnsi="Palatino Linotype"/>
        </w:rPr>
        <w:t xml:space="preserve"> </w:t>
      </w:r>
      <w:r w:rsidR="00B54157">
        <w:rPr>
          <w:rFonts w:ascii="Palatino Linotype" w:hAnsi="Palatino Linotype"/>
        </w:rPr>
        <w:t>prepared</w:t>
      </w:r>
      <w:r w:rsidR="00DA3EAC">
        <w:rPr>
          <w:rFonts w:ascii="Palatino Linotype" w:hAnsi="Palatino Linotype"/>
        </w:rPr>
        <w:t xml:space="preserve"> and validated</w:t>
      </w:r>
      <w:r w:rsidR="00B54157">
        <w:rPr>
          <w:rFonts w:ascii="Palatino Linotype" w:hAnsi="Palatino Linotype"/>
        </w:rPr>
        <w:t xml:space="preserve"> from a variety of independent and current references</w:t>
      </w:r>
      <w:r w:rsidR="00DA3EAC">
        <w:rPr>
          <w:rFonts w:ascii="Palatino Linotype" w:hAnsi="Palatino Linotype"/>
        </w:rPr>
        <w:t xml:space="preserve">.  </w:t>
      </w:r>
      <w:r w:rsidR="00B54157">
        <w:rPr>
          <w:rFonts w:ascii="Palatino Linotype" w:hAnsi="Palatino Linotype"/>
        </w:rPr>
        <w:t>T</w:t>
      </w:r>
      <w:r w:rsidR="00154FFC">
        <w:rPr>
          <w:rFonts w:ascii="Palatino Linotype" w:hAnsi="Palatino Linotype"/>
        </w:rPr>
        <w:t xml:space="preserve">he 2010 base year </w:t>
      </w:r>
      <w:r w:rsidR="00B54157">
        <w:rPr>
          <w:rFonts w:ascii="Palatino Linotype" w:hAnsi="Palatino Linotype"/>
        </w:rPr>
        <w:t xml:space="preserve">population </w:t>
      </w:r>
      <w:r w:rsidR="00154FFC">
        <w:rPr>
          <w:rFonts w:ascii="Palatino Linotype" w:hAnsi="Palatino Linotype"/>
        </w:rPr>
        <w:t xml:space="preserve">estimates </w:t>
      </w:r>
      <w:r w:rsidR="00245B66">
        <w:rPr>
          <w:rFonts w:ascii="Palatino Linotype" w:hAnsi="Palatino Linotype"/>
        </w:rPr>
        <w:t>are</w:t>
      </w:r>
      <w:r w:rsidR="00B54157">
        <w:rPr>
          <w:rFonts w:ascii="Palatino Linotype" w:hAnsi="Palatino Linotype"/>
        </w:rPr>
        <w:t>, most significantly,</w:t>
      </w:r>
      <w:r w:rsidR="00245B66">
        <w:rPr>
          <w:rFonts w:ascii="Palatino Linotype" w:hAnsi="Palatino Linotype"/>
        </w:rPr>
        <w:t xml:space="preserve"> the product of correcting the 2010 subzone fo</w:t>
      </w:r>
      <w:r w:rsidR="007F4240">
        <w:rPr>
          <w:rFonts w:ascii="Palatino Linotype" w:hAnsi="Palatino Linotype"/>
        </w:rPr>
        <w:t>recasts</w:t>
      </w:r>
      <w:r w:rsidR="005D51F9">
        <w:rPr>
          <w:rFonts w:ascii="Palatino Linotype" w:hAnsi="Palatino Linotype"/>
        </w:rPr>
        <w:t xml:space="preserve"> </w:t>
      </w:r>
      <w:r w:rsidR="002F020E">
        <w:rPr>
          <w:rFonts w:ascii="Palatino Linotype" w:hAnsi="Palatino Linotype"/>
        </w:rPr>
        <w:t xml:space="preserve">prepared </w:t>
      </w:r>
      <w:r w:rsidR="005D51F9">
        <w:rPr>
          <w:rFonts w:ascii="Palatino Linotype" w:hAnsi="Palatino Linotype"/>
        </w:rPr>
        <w:t>previously</w:t>
      </w:r>
      <w:r w:rsidR="007F4240">
        <w:rPr>
          <w:rFonts w:ascii="Palatino Linotype" w:hAnsi="Palatino Linotype"/>
        </w:rPr>
        <w:t xml:space="preserve"> </w:t>
      </w:r>
      <w:r w:rsidR="00245B66">
        <w:rPr>
          <w:rFonts w:ascii="Palatino Linotype" w:hAnsi="Palatino Linotype"/>
        </w:rPr>
        <w:t>with more recent Census estimates.  Corrections are made primarily to adjust the forecast rate of growth that has become more apparent as the years proceed.</w:t>
      </w:r>
    </w:p>
    <w:p w:rsidR="005D51F9" w:rsidRDefault="005D51F9" w:rsidP="003B245B">
      <w:pPr>
        <w:rPr>
          <w:rFonts w:ascii="Palatino Linotype" w:hAnsi="Palatino Linotype"/>
        </w:rPr>
      </w:pPr>
      <w:r>
        <w:rPr>
          <w:rFonts w:ascii="Palatino Linotype" w:hAnsi="Palatino Linotype"/>
        </w:rPr>
        <w:t xml:space="preserve">The US Census Bureau has </w:t>
      </w:r>
      <w:r w:rsidR="002F020E">
        <w:rPr>
          <w:rFonts w:ascii="Palatino Linotype" w:hAnsi="Palatino Linotype"/>
        </w:rPr>
        <w:t>produced</w:t>
      </w:r>
      <w:r>
        <w:rPr>
          <w:rFonts w:ascii="Palatino Linotype" w:hAnsi="Palatino Linotype"/>
        </w:rPr>
        <w:t xml:space="preserve"> annual estimates of population by Minor Civil Division (MCD) through 2008.  Outside the city of Chicago, MCDs are roughly township-sized areas (commonly about 144 subzones) and are suitable for detecting and validating shifts from the originally estimated </w:t>
      </w:r>
      <w:r w:rsidR="002B1C26">
        <w:rPr>
          <w:rFonts w:ascii="Palatino Linotype" w:hAnsi="Palatino Linotype"/>
        </w:rPr>
        <w:t>2010</w:t>
      </w:r>
      <w:r>
        <w:rPr>
          <w:rFonts w:ascii="Palatino Linotype" w:hAnsi="Palatino Linotype"/>
        </w:rPr>
        <w:t xml:space="preserve"> population.  The Census, however, reports the entire city of Chicago as a single MCD, which is too large to provide meaningful indicators of variation </w:t>
      </w:r>
      <w:r w:rsidR="0060439A">
        <w:rPr>
          <w:rFonts w:ascii="Palatino Linotype" w:hAnsi="Palatino Linotype"/>
        </w:rPr>
        <w:t>at the subzone level</w:t>
      </w:r>
      <w:r>
        <w:rPr>
          <w:rFonts w:ascii="Palatino Linotype" w:hAnsi="Palatino Linotype"/>
        </w:rPr>
        <w:t xml:space="preserve">.  To capture variation in population change within the city, the census MCD estimate for Chicago has </w:t>
      </w:r>
      <w:r w:rsidRPr="00FB55AD">
        <w:rPr>
          <w:rFonts w:ascii="Palatino Linotype" w:hAnsi="Palatino Linotype"/>
        </w:rPr>
        <w:t>been appor</w:t>
      </w:r>
      <w:r w:rsidR="002B1C26" w:rsidRPr="00FB55AD">
        <w:rPr>
          <w:rFonts w:ascii="Palatino Linotype" w:hAnsi="Palatino Linotype"/>
        </w:rPr>
        <w:t>tioned</w:t>
      </w:r>
      <w:r w:rsidR="002B1C26">
        <w:rPr>
          <w:rFonts w:ascii="Palatino Linotype" w:hAnsi="Palatino Linotype"/>
        </w:rPr>
        <w:t xml:space="preserve"> to designated Community A</w:t>
      </w:r>
      <w:r>
        <w:rPr>
          <w:rFonts w:ascii="Palatino Linotype" w:hAnsi="Palatino Linotype"/>
        </w:rPr>
        <w:t>reas</w:t>
      </w:r>
      <w:r w:rsidR="002B1C26">
        <w:rPr>
          <w:rFonts w:ascii="Palatino Linotype" w:hAnsi="Palatino Linotype"/>
        </w:rPr>
        <w:t xml:space="preserve"> (CA)</w:t>
      </w:r>
      <w:r>
        <w:rPr>
          <w:rFonts w:ascii="Palatino Linotype" w:hAnsi="Palatino Linotype"/>
        </w:rPr>
        <w:t xml:space="preserve"> based on housing activity reported by various government and real estate sources.    </w:t>
      </w:r>
    </w:p>
    <w:p w:rsidR="008F7C41" w:rsidRDefault="005C60A6" w:rsidP="00DA539F">
      <w:pPr>
        <w:rPr>
          <w:rFonts w:ascii="Palatino Linotype" w:hAnsi="Palatino Linotype"/>
        </w:rPr>
      </w:pPr>
      <w:r>
        <w:rPr>
          <w:rFonts w:ascii="Palatino Linotype" w:hAnsi="Palatino Linotype"/>
        </w:rPr>
        <w:t>Census estimated population change be</w:t>
      </w:r>
      <w:r w:rsidR="00CD318C">
        <w:rPr>
          <w:rFonts w:ascii="Palatino Linotype" w:hAnsi="Palatino Linotype"/>
        </w:rPr>
        <w:t>tween 2000 and 2007 by MCD/CA was</w:t>
      </w:r>
      <w:r w:rsidR="00195C21">
        <w:rPr>
          <w:rFonts w:ascii="Palatino Linotype" w:hAnsi="Palatino Linotype"/>
        </w:rPr>
        <w:t xml:space="preserve"> then</w:t>
      </w:r>
      <w:r>
        <w:rPr>
          <w:rFonts w:ascii="Palatino Linotype" w:hAnsi="Palatino Linotype"/>
        </w:rPr>
        <w:t xml:space="preserve"> annualized.  Thr</w:t>
      </w:r>
      <w:r w:rsidR="00CD318C">
        <w:rPr>
          <w:rFonts w:ascii="Palatino Linotype" w:hAnsi="Palatino Linotype"/>
        </w:rPr>
        <w:t>ee years of additional change was</w:t>
      </w:r>
      <w:r>
        <w:rPr>
          <w:rFonts w:ascii="Palatino Linotype" w:hAnsi="Palatino Linotype"/>
        </w:rPr>
        <w:t xml:space="preserve"> added to the 2007 estimate to produce a new 2010 estimate.</w:t>
      </w:r>
      <w:r w:rsidR="00195C21">
        <w:rPr>
          <w:rFonts w:ascii="Palatino Linotype" w:hAnsi="Palatino Linotype"/>
        </w:rPr>
        <w:t xml:space="preserve">  </w:t>
      </w:r>
      <w:r w:rsidR="007D428F">
        <w:rPr>
          <w:rFonts w:ascii="Palatino Linotype" w:hAnsi="Palatino Linotype"/>
        </w:rPr>
        <w:t>T</w:t>
      </w:r>
      <w:r w:rsidR="008F7C41" w:rsidRPr="008F7C41">
        <w:rPr>
          <w:rFonts w:ascii="Palatino Linotype" w:hAnsi="Palatino Linotype"/>
        </w:rPr>
        <w:t>he</w:t>
      </w:r>
      <w:r w:rsidR="002B1C26">
        <w:rPr>
          <w:rFonts w:ascii="Palatino Linotype" w:hAnsi="Palatino Linotype"/>
        </w:rPr>
        <w:t xml:space="preserve">re is also a </w:t>
      </w:r>
      <w:r w:rsidR="008F7C41" w:rsidRPr="008F7C41">
        <w:rPr>
          <w:rFonts w:ascii="Palatino Linotype" w:hAnsi="Palatino Linotype"/>
        </w:rPr>
        <w:t>parameter</w:t>
      </w:r>
      <w:r w:rsidR="003D7BB7">
        <w:rPr>
          <w:rStyle w:val="EndnoteReference"/>
          <w:rFonts w:ascii="Palatino Linotype" w:hAnsi="Palatino Linotype"/>
        </w:rPr>
        <w:endnoteReference w:id="2"/>
      </w:r>
      <w:r w:rsidR="00D80F20">
        <w:rPr>
          <w:rFonts w:ascii="Palatino Linotype" w:hAnsi="Palatino Linotype"/>
        </w:rPr>
        <w:t xml:space="preserve"> </w:t>
      </w:r>
      <w:r w:rsidR="00CD318C">
        <w:rPr>
          <w:rFonts w:ascii="Palatino Linotype" w:hAnsi="Palatino Linotype"/>
        </w:rPr>
        <w:t>applied to</w:t>
      </w:r>
      <w:r w:rsidR="008F7C41" w:rsidRPr="008F7C41">
        <w:rPr>
          <w:rFonts w:ascii="Palatino Linotype" w:hAnsi="Palatino Linotype"/>
        </w:rPr>
        <w:t xml:space="preserve"> the observed population</w:t>
      </w:r>
      <w:r w:rsidR="00DA539F">
        <w:rPr>
          <w:rFonts w:ascii="Palatino Linotype" w:hAnsi="Palatino Linotype"/>
        </w:rPr>
        <w:t xml:space="preserve"> values for community areas in C</w:t>
      </w:r>
      <w:r w:rsidR="008F7C41" w:rsidRPr="008F7C41">
        <w:rPr>
          <w:rFonts w:ascii="Palatino Linotype" w:hAnsi="Palatino Linotype"/>
        </w:rPr>
        <w:t xml:space="preserve">hicago.  </w:t>
      </w:r>
      <w:r w:rsidR="00CD318C">
        <w:rPr>
          <w:rFonts w:ascii="Palatino Linotype" w:hAnsi="Palatino Linotype"/>
        </w:rPr>
        <w:t xml:space="preserve">This is done to account for </w:t>
      </w:r>
      <w:r w:rsidR="00195C21">
        <w:rPr>
          <w:rFonts w:ascii="Palatino Linotype" w:hAnsi="Palatino Linotype"/>
        </w:rPr>
        <w:t>an</w:t>
      </w:r>
      <w:r w:rsidR="008F7C41" w:rsidRPr="008F7C41">
        <w:rPr>
          <w:rFonts w:ascii="Palatino Linotype" w:hAnsi="Palatino Linotype"/>
        </w:rPr>
        <w:t xml:space="preserve"> observed sine</w:t>
      </w:r>
      <w:r w:rsidR="00DA539F">
        <w:rPr>
          <w:rFonts w:ascii="Palatino Linotype" w:hAnsi="Palatino Linotype"/>
        </w:rPr>
        <w:t xml:space="preserve"> wav</w:t>
      </w:r>
      <w:r w:rsidR="00125518">
        <w:rPr>
          <w:rFonts w:ascii="Palatino Linotype" w:hAnsi="Palatino Linotype"/>
        </w:rPr>
        <w:t xml:space="preserve">e of </w:t>
      </w:r>
      <w:r w:rsidR="00DA539F">
        <w:rPr>
          <w:rFonts w:ascii="Palatino Linotype" w:hAnsi="Palatino Linotype"/>
        </w:rPr>
        <w:t>population levels in C</w:t>
      </w:r>
      <w:r w:rsidR="008F7C41" w:rsidRPr="008F7C41">
        <w:rPr>
          <w:rFonts w:ascii="Palatino Linotype" w:hAnsi="Palatino Linotype"/>
        </w:rPr>
        <w:t>hicago from 2000 to 2007</w:t>
      </w:r>
      <w:r w:rsidR="00CD318C">
        <w:rPr>
          <w:rFonts w:ascii="Palatino Linotype" w:hAnsi="Palatino Linotype"/>
        </w:rPr>
        <w:t xml:space="preserve"> (i.e. a decline, then an increase).  This parameter amplifies </w:t>
      </w:r>
      <w:r w:rsidR="007F4240">
        <w:rPr>
          <w:rFonts w:ascii="Palatino Linotype" w:hAnsi="Palatino Linotype"/>
        </w:rPr>
        <w:t xml:space="preserve">change in </w:t>
      </w:r>
      <w:r w:rsidR="008F7C41" w:rsidRPr="008F7C41">
        <w:rPr>
          <w:rFonts w:ascii="Palatino Linotype" w:hAnsi="Palatino Linotype"/>
        </w:rPr>
        <w:t>commun</w:t>
      </w:r>
      <w:r w:rsidR="00125518">
        <w:rPr>
          <w:rFonts w:ascii="Palatino Linotype" w:hAnsi="Palatino Linotype"/>
        </w:rPr>
        <w:t>i</w:t>
      </w:r>
      <w:r w:rsidR="008F7C41" w:rsidRPr="008F7C41">
        <w:rPr>
          <w:rFonts w:ascii="Palatino Linotype" w:hAnsi="Palatino Linotype"/>
        </w:rPr>
        <w:t xml:space="preserve">ty areas experiencing higher rates of </w:t>
      </w:r>
      <w:r w:rsidR="007F4240">
        <w:rPr>
          <w:rFonts w:ascii="Palatino Linotype" w:hAnsi="Palatino Linotype"/>
        </w:rPr>
        <w:t>growth or decline</w:t>
      </w:r>
      <w:r w:rsidR="008F7C41" w:rsidRPr="008F7C41">
        <w:rPr>
          <w:rFonts w:ascii="Palatino Linotype" w:hAnsi="Palatino Linotype"/>
        </w:rPr>
        <w:t xml:space="preserve">. </w:t>
      </w:r>
      <w:r w:rsidR="00F01C39">
        <w:rPr>
          <w:rFonts w:ascii="Palatino Linotype" w:hAnsi="Palatino Linotype"/>
        </w:rPr>
        <w:t xml:space="preserve"> </w:t>
      </w:r>
      <w:r w:rsidR="00CD318C">
        <w:rPr>
          <w:rFonts w:ascii="Palatino Linotype" w:hAnsi="Palatino Linotype"/>
        </w:rPr>
        <w:t>(</w:t>
      </w:r>
      <w:r w:rsidR="003D33F1">
        <w:rPr>
          <w:rFonts w:ascii="Palatino Linotype" w:hAnsi="Palatino Linotype"/>
        </w:rPr>
        <w:t>M</w:t>
      </w:r>
      <w:r w:rsidR="007F4240">
        <w:rPr>
          <w:rFonts w:ascii="Palatino Linotype" w:hAnsi="Palatino Linotype"/>
        </w:rPr>
        <w:t xml:space="preserve">odeling </w:t>
      </w:r>
      <w:r w:rsidR="00CD318C">
        <w:rPr>
          <w:rFonts w:ascii="Palatino Linotype" w:hAnsi="Palatino Linotype"/>
        </w:rPr>
        <w:t xml:space="preserve">note: </w:t>
      </w:r>
      <w:r w:rsidR="00195C21">
        <w:rPr>
          <w:rFonts w:ascii="Palatino Linotype" w:hAnsi="Palatino Linotype"/>
        </w:rPr>
        <w:t xml:space="preserve">this technique will be useful in any mature community in which rates of population </w:t>
      </w:r>
      <w:r w:rsidR="00E1379C">
        <w:rPr>
          <w:rFonts w:ascii="Palatino Linotype" w:hAnsi="Palatino Linotype"/>
        </w:rPr>
        <w:t>change</w:t>
      </w:r>
      <w:r w:rsidR="00195C21">
        <w:rPr>
          <w:rFonts w:ascii="Palatino Linotype" w:hAnsi="Palatino Linotype"/>
        </w:rPr>
        <w:t xml:space="preserve"> occur in response to economic cycles rather than</w:t>
      </w:r>
      <w:r w:rsidR="002F020E">
        <w:rPr>
          <w:rFonts w:ascii="Palatino Linotype" w:hAnsi="Palatino Linotype"/>
        </w:rPr>
        <w:t xml:space="preserve"> vacant</w:t>
      </w:r>
      <w:r w:rsidR="00195C21">
        <w:rPr>
          <w:rFonts w:ascii="Palatino Linotype" w:hAnsi="Palatino Linotype"/>
        </w:rPr>
        <w:t xml:space="preserve"> land </w:t>
      </w:r>
      <w:r w:rsidR="002F020E">
        <w:rPr>
          <w:rFonts w:ascii="Palatino Linotype" w:hAnsi="Palatino Linotype"/>
        </w:rPr>
        <w:t>conversion</w:t>
      </w:r>
      <w:r w:rsidR="00CD318C">
        <w:rPr>
          <w:rFonts w:ascii="Palatino Linotype" w:hAnsi="Palatino Linotype"/>
        </w:rPr>
        <w:t xml:space="preserve">). </w:t>
      </w:r>
      <w:r w:rsidR="00FF0E28">
        <w:rPr>
          <w:rFonts w:ascii="Palatino Linotype" w:hAnsi="Palatino Linotype"/>
        </w:rPr>
        <w:t xml:space="preserve"> </w:t>
      </w:r>
    </w:p>
    <w:p w:rsidR="00E91154" w:rsidRDefault="00E91154" w:rsidP="00E91154">
      <w:pPr>
        <w:rPr>
          <w:rFonts w:ascii="Palatino Linotype" w:hAnsi="Palatino Linotype"/>
        </w:rPr>
      </w:pPr>
      <w:r>
        <w:rPr>
          <w:rFonts w:ascii="Palatino Linotype" w:hAnsi="Palatino Linotype"/>
        </w:rPr>
        <w:t xml:space="preserve">For use in </w:t>
      </w:r>
      <w:r w:rsidR="00EB2A52">
        <w:rPr>
          <w:rFonts w:ascii="Palatino Linotype" w:hAnsi="Palatino Linotype"/>
        </w:rPr>
        <w:t>statistical</w:t>
      </w:r>
      <w:r>
        <w:rPr>
          <w:rFonts w:ascii="Palatino Linotype" w:hAnsi="Palatino Linotype"/>
        </w:rPr>
        <w:t xml:space="preserve"> modeling, u</w:t>
      </w:r>
      <w:r w:rsidRPr="00CD318C">
        <w:rPr>
          <w:rFonts w:ascii="Palatino Linotype" w:hAnsi="Palatino Linotype"/>
        </w:rPr>
        <w:t>pdated MCD/CA estimates</w:t>
      </w:r>
      <w:r>
        <w:rPr>
          <w:rFonts w:ascii="Palatino Linotype" w:hAnsi="Palatino Linotype"/>
        </w:rPr>
        <w:t xml:space="preserve"> of population were generalized to the household level and then </w:t>
      </w:r>
      <w:r w:rsidRPr="00CD318C">
        <w:rPr>
          <w:rFonts w:ascii="Palatino Linotype" w:hAnsi="Palatino Linotype"/>
        </w:rPr>
        <w:t>apportioned to s</w:t>
      </w:r>
      <w:r>
        <w:rPr>
          <w:rFonts w:ascii="Palatino Linotype" w:hAnsi="Palatino Linotype"/>
        </w:rPr>
        <w:t xml:space="preserve">ubzones based on the original </w:t>
      </w:r>
      <w:r w:rsidRPr="00CD318C">
        <w:rPr>
          <w:rFonts w:ascii="Palatino Linotype" w:hAnsi="Palatino Linotype"/>
        </w:rPr>
        <w:t>allocations</w:t>
      </w:r>
      <w:r>
        <w:rPr>
          <w:rFonts w:ascii="Palatino Linotype" w:hAnsi="Palatino Linotype"/>
        </w:rPr>
        <w:t xml:space="preserve"> developed for households in </w:t>
      </w:r>
      <w:r w:rsidR="002F020E">
        <w:rPr>
          <w:rFonts w:ascii="Palatino Linotype" w:hAnsi="Palatino Linotype"/>
        </w:rPr>
        <w:t>the previous long range plan</w:t>
      </w:r>
      <w:r w:rsidRPr="00CD318C">
        <w:rPr>
          <w:rFonts w:ascii="Palatino Linotype" w:hAnsi="Palatino Linotype"/>
        </w:rPr>
        <w:t xml:space="preserve">.  Household </w:t>
      </w:r>
      <w:r w:rsidRPr="00CD318C">
        <w:rPr>
          <w:rFonts w:ascii="Palatino Linotype" w:hAnsi="Palatino Linotype"/>
        </w:rPr>
        <w:lastRenderedPageBreak/>
        <w:t xml:space="preserve">components (adults, workers, children, income) were </w:t>
      </w:r>
      <w:r>
        <w:rPr>
          <w:rFonts w:ascii="Palatino Linotype" w:hAnsi="Palatino Linotype"/>
        </w:rPr>
        <w:t>estimated</w:t>
      </w:r>
      <w:r w:rsidRPr="00CD318C">
        <w:rPr>
          <w:rFonts w:ascii="Palatino Linotype" w:hAnsi="Palatino Linotype"/>
        </w:rPr>
        <w:t xml:space="preserve"> using </w:t>
      </w:r>
      <w:r w:rsidR="003D33F1">
        <w:rPr>
          <w:rFonts w:ascii="Palatino Linotype" w:hAnsi="Palatino Linotype"/>
        </w:rPr>
        <w:t>a</w:t>
      </w:r>
      <w:r>
        <w:rPr>
          <w:rFonts w:ascii="Palatino Linotype" w:hAnsi="Palatino Linotype"/>
        </w:rPr>
        <w:t xml:space="preserve"> base year </w:t>
      </w:r>
      <w:r w:rsidRPr="00FB55AD">
        <w:rPr>
          <w:rFonts w:ascii="Palatino Linotype" w:hAnsi="Palatino Linotype"/>
        </w:rPr>
        <w:t>population synthesis technique</w:t>
      </w:r>
      <w:r>
        <w:rPr>
          <w:rFonts w:ascii="Palatino Linotype" w:hAnsi="Palatino Linotype"/>
        </w:rPr>
        <w:t xml:space="preserve"> that iteratively applies household components to match observed Cen</w:t>
      </w:r>
      <w:r w:rsidR="00D80F20">
        <w:rPr>
          <w:rFonts w:ascii="Palatino Linotype" w:hAnsi="Palatino Linotype"/>
        </w:rPr>
        <w:t>sus distributions at the PUMA (Public Use Microdata A</w:t>
      </w:r>
      <w:r>
        <w:rPr>
          <w:rFonts w:ascii="Palatino Linotype" w:hAnsi="Palatino Linotype"/>
        </w:rPr>
        <w:t xml:space="preserve">rea).  </w:t>
      </w:r>
    </w:p>
    <w:p w:rsidR="00B87CC3" w:rsidRDefault="003510AF">
      <w:pPr>
        <w:rPr>
          <w:rFonts w:ascii="Palatino Linotype" w:hAnsi="Palatino Linotype"/>
        </w:rPr>
      </w:pPr>
      <w:r w:rsidRPr="00AA3710">
        <w:rPr>
          <w:rFonts w:ascii="Palatino Linotype" w:hAnsi="Palatino Linotype"/>
        </w:rPr>
        <w:t xml:space="preserve">To estimate </w:t>
      </w:r>
      <w:r>
        <w:rPr>
          <w:rFonts w:ascii="Palatino Linotype" w:hAnsi="Palatino Linotype"/>
        </w:rPr>
        <w:t xml:space="preserve">this </w:t>
      </w:r>
      <w:r w:rsidRPr="00AA3710">
        <w:rPr>
          <w:rFonts w:ascii="Palatino Linotype" w:hAnsi="Palatino Linotype"/>
        </w:rPr>
        <w:t>c</w:t>
      </w:r>
      <w:r>
        <w:rPr>
          <w:rFonts w:ascii="Palatino Linotype" w:hAnsi="Palatino Linotype"/>
        </w:rPr>
        <w:t>hange in demographic composition, a</w:t>
      </w:r>
      <w:r w:rsidRPr="00AA3710">
        <w:rPr>
          <w:rFonts w:ascii="Palatino Linotype" w:hAnsi="Palatino Linotype"/>
        </w:rPr>
        <w:t xml:space="preserve"> synthetic population </w:t>
      </w:r>
      <w:r>
        <w:rPr>
          <w:rFonts w:ascii="Palatino Linotype" w:hAnsi="Palatino Linotype"/>
        </w:rPr>
        <w:t>is</w:t>
      </w:r>
      <w:r w:rsidRPr="00AA3710">
        <w:rPr>
          <w:rFonts w:ascii="Palatino Linotype" w:hAnsi="Palatino Linotype"/>
        </w:rPr>
        <w:t xml:space="preserve"> generated using </w:t>
      </w:r>
      <w:r>
        <w:rPr>
          <w:rFonts w:ascii="Palatino Linotype" w:hAnsi="Palatino Linotype"/>
        </w:rPr>
        <w:t>baseline</w:t>
      </w:r>
      <w:r w:rsidRPr="00AA3710">
        <w:rPr>
          <w:rFonts w:ascii="Palatino Linotype" w:hAnsi="Palatino Linotype"/>
        </w:rPr>
        <w:t xml:space="preserve"> census data for the region and </w:t>
      </w:r>
      <w:r>
        <w:rPr>
          <w:rFonts w:ascii="Palatino Linotype" w:hAnsi="Palatino Linotype"/>
        </w:rPr>
        <w:t>updated with a</w:t>
      </w:r>
      <w:r w:rsidRPr="00AA3710">
        <w:rPr>
          <w:rFonts w:ascii="Palatino Linotype" w:hAnsi="Palatino Linotype"/>
        </w:rPr>
        <w:t xml:space="preserve"> set of </w:t>
      </w:r>
      <w:r>
        <w:rPr>
          <w:rFonts w:ascii="Palatino Linotype" w:hAnsi="Palatino Linotype"/>
        </w:rPr>
        <w:t>regional accessibility</w:t>
      </w:r>
      <w:r w:rsidRPr="00AA3710">
        <w:rPr>
          <w:rFonts w:ascii="Palatino Linotype" w:hAnsi="Palatino Linotype"/>
        </w:rPr>
        <w:t xml:space="preserve"> indicator</w:t>
      </w:r>
      <w:r>
        <w:rPr>
          <w:rFonts w:ascii="Palatino Linotype" w:hAnsi="Palatino Linotype"/>
        </w:rPr>
        <w:t>s.</w:t>
      </w:r>
      <w:r w:rsidRPr="00AA3710">
        <w:rPr>
          <w:rFonts w:ascii="Palatino Linotype" w:hAnsi="Palatino Linotype"/>
        </w:rPr>
        <w:t xml:space="preserve">  For each future scenario, the impacts of the assumed demographic changes in terms of </w:t>
      </w:r>
      <w:r>
        <w:rPr>
          <w:rFonts w:ascii="Palatino Linotype" w:hAnsi="Palatino Linotype"/>
        </w:rPr>
        <w:t>regional accessibility are evaluated</w:t>
      </w:r>
      <w:r w:rsidRPr="00AA3710">
        <w:rPr>
          <w:rFonts w:ascii="Palatino Linotype" w:hAnsi="Palatino Linotype"/>
        </w:rPr>
        <w:t xml:space="preserve"> against</w:t>
      </w:r>
      <w:r>
        <w:rPr>
          <w:rFonts w:ascii="Palatino Linotype" w:hAnsi="Palatino Linotype"/>
        </w:rPr>
        <w:t xml:space="preserve"> the </w:t>
      </w:r>
      <w:r w:rsidR="006A7D6F">
        <w:rPr>
          <w:rFonts w:ascii="Palatino Linotype" w:hAnsi="Palatino Linotype"/>
        </w:rPr>
        <w:t>accessibility</w:t>
      </w:r>
      <w:r>
        <w:rPr>
          <w:rFonts w:ascii="Palatino Linotype" w:hAnsi="Palatino Linotype"/>
        </w:rPr>
        <w:t xml:space="preserve"> indicators and new marginal control totals are generated from which the future population is drawn.</w:t>
      </w:r>
      <w:r w:rsidR="00E1379C">
        <w:rPr>
          <w:rFonts w:ascii="Palatino Linotype" w:hAnsi="Palatino Linotype"/>
        </w:rPr>
        <w:t xml:space="preserve">  </w:t>
      </w:r>
      <w:r w:rsidR="00B87CC3">
        <w:rPr>
          <w:rFonts w:ascii="Palatino Linotype" w:hAnsi="Palatino Linotype"/>
        </w:rPr>
        <w:t>The figure below</w:t>
      </w:r>
      <w:r w:rsidR="00E1379C" w:rsidRPr="00E1379C">
        <w:rPr>
          <w:rFonts w:ascii="Palatino Linotype" w:hAnsi="Palatino Linotype"/>
        </w:rPr>
        <w:t xml:space="preserve"> reveals the effect of this correction.  From the period 2003 to 2010, population growth in a ring of communities at the edge of the region (and some Chicago neighborhoods) was greater than originally expected with other Chicago neighborhoods and some southern suburbs growing more slowly than originally anticipated.</w:t>
      </w:r>
    </w:p>
    <w:p w:rsidR="003D7A7C" w:rsidRPr="009A421B" w:rsidRDefault="00FF0E28">
      <w:pPr>
        <w:rPr>
          <w:rFonts w:ascii="Palatino Linotype" w:hAnsi="Palatino Linotype"/>
          <w:b/>
          <w:color w:val="4F81BD" w:themeColor="accent1"/>
        </w:rPr>
      </w:pPr>
      <w:bookmarkStart w:id="10" w:name="_Toc262193783"/>
      <w:bookmarkStart w:id="11" w:name="_Toc284935625"/>
      <w:r w:rsidRPr="009A421B">
        <w:rPr>
          <w:b/>
          <w:color w:val="4F81BD" w:themeColor="accent1"/>
        </w:rPr>
        <w:t xml:space="preserve">Figure </w:t>
      </w:r>
      <w:r w:rsidR="009A421B" w:rsidRPr="009A421B">
        <w:rPr>
          <w:b/>
          <w:color w:val="4F81BD" w:themeColor="accent1"/>
        </w:rPr>
        <w:fldChar w:fldCharType="begin"/>
      </w:r>
      <w:r w:rsidR="009A421B" w:rsidRPr="009A421B">
        <w:rPr>
          <w:b/>
          <w:color w:val="4F81BD" w:themeColor="accent1"/>
        </w:rPr>
        <w:instrText xml:space="preserve"> SEQ Figure \* ARABIC </w:instrText>
      </w:r>
      <w:r w:rsidR="009A421B" w:rsidRPr="009A421B">
        <w:rPr>
          <w:b/>
          <w:color w:val="4F81BD" w:themeColor="accent1"/>
        </w:rPr>
        <w:fldChar w:fldCharType="separate"/>
      </w:r>
      <w:r w:rsidR="009B0830" w:rsidRPr="009A421B">
        <w:rPr>
          <w:b/>
          <w:noProof/>
          <w:color w:val="4F81BD" w:themeColor="accent1"/>
        </w:rPr>
        <w:t>2</w:t>
      </w:r>
      <w:r w:rsidR="009A421B" w:rsidRPr="009A421B">
        <w:rPr>
          <w:b/>
          <w:noProof/>
          <w:color w:val="4F81BD" w:themeColor="accent1"/>
        </w:rPr>
        <w:fldChar w:fldCharType="end"/>
      </w:r>
      <w:r w:rsidRPr="009A421B">
        <w:rPr>
          <w:b/>
          <w:color w:val="4F81BD" w:themeColor="accent1"/>
        </w:rPr>
        <w:t xml:space="preserve">: </w:t>
      </w:r>
      <w:r w:rsidR="001F1569">
        <w:rPr>
          <w:b/>
          <w:color w:val="4F81BD" w:themeColor="accent1"/>
        </w:rPr>
        <w:t xml:space="preserve"> </w:t>
      </w:r>
      <w:r w:rsidRPr="009A421B">
        <w:rPr>
          <w:b/>
          <w:color w:val="4F81BD" w:themeColor="accent1"/>
        </w:rPr>
        <w:t>2010 Population Estimates</w:t>
      </w:r>
      <w:bookmarkEnd w:id="10"/>
      <w:bookmarkEnd w:id="11"/>
    </w:p>
    <w:tbl>
      <w:tblPr>
        <w:tblStyle w:val="TableGrid"/>
        <w:tblW w:w="0" w:type="auto"/>
        <w:tblLook w:val="04A0" w:firstRow="1" w:lastRow="0" w:firstColumn="1" w:lastColumn="0" w:noHBand="0" w:noVBand="1"/>
      </w:tblPr>
      <w:tblGrid>
        <w:gridCol w:w="4392"/>
        <w:gridCol w:w="4392"/>
        <w:gridCol w:w="4392"/>
      </w:tblGrid>
      <w:tr w:rsidR="003D7A7C" w:rsidTr="003D7A7C">
        <w:tc>
          <w:tcPr>
            <w:tcW w:w="4392" w:type="dxa"/>
          </w:tcPr>
          <w:p w:rsidR="003D7A7C" w:rsidRDefault="003D7A7C" w:rsidP="003D7A7C">
            <w:pPr>
              <w:pStyle w:val="Caption"/>
            </w:pPr>
            <w:r>
              <w:t>Original 2010 Estimate</w:t>
            </w:r>
          </w:p>
          <w:p w:rsidR="003D7A7C" w:rsidRPr="00DA539F" w:rsidRDefault="003D7A7C" w:rsidP="003D7A7C">
            <w:r>
              <w:rPr>
                <w:noProof/>
              </w:rPr>
              <w:drawing>
                <wp:inline distT="0" distB="0" distL="0" distR="0" wp14:anchorId="402AE164" wp14:editId="4815A081">
                  <wp:extent cx="2371725" cy="3072203"/>
                  <wp:effectExtent l="19050" t="0" r="9525" b="0"/>
                  <wp:docPr id="5" name="Picture 1" descr="C:\Documents and Settings\kwie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wies\Desktop\Untitled.jpg"/>
                          <pic:cNvPicPr>
                            <a:picLocks noChangeAspect="1" noChangeArrowheads="1"/>
                          </pic:cNvPicPr>
                        </pic:nvPicPr>
                        <pic:blipFill>
                          <a:blip r:embed="rId14" cstate="print"/>
                          <a:srcRect/>
                          <a:stretch>
                            <a:fillRect/>
                          </a:stretch>
                        </pic:blipFill>
                        <pic:spPr bwMode="auto">
                          <a:xfrm>
                            <a:off x="0" y="0"/>
                            <a:ext cx="2371921" cy="3072457"/>
                          </a:xfrm>
                          <a:prstGeom prst="rect">
                            <a:avLst/>
                          </a:prstGeom>
                          <a:noFill/>
                          <a:ln w="9525">
                            <a:noFill/>
                            <a:miter lim="800000"/>
                            <a:headEnd/>
                            <a:tailEnd/>
                          </a:ln>
                        </pic:spPr>
                      </pic:pic>
                    </a:graphicData>
                  </a:graphic>
                </wp:inline>
              </w:drawing>
            </w:r>
          </w:p>
          <w:p w:rsidR="003D7A7C" w:rsidRDefault="003D7A7C"/>
        </w:tc>
        <w:tc>
          <w:tcPr>
            <w:tcW w:w="4392" w:type="dxa"/>
          </w:tcPr>
          <w:p w:rsidR="00846B69" w:rsidRDefault="00846B69" w:rsidP="00846B69">
            <w:pPr>
              <w:pStyle w:val="Caption"/>
            </w:pPr>
            <w:r>
              <w:t>New 2010 Estimate</w:t>
            </w:r>
          </w:p>
          <w:p w:rsidR="00846B69" w:rsidRPr="00DA539F" w:rsidRDefault="00846B69" w:rsidP="00846B69">
            <w:r>
              <w:rPr>
                <w:noProof/>
              </w:rPr>
              <w:drawing>
                <wp:inline distT="0" distB="0" distL="0" distR="0" wp14:anchorId="00BB5347" wp14:editId="2D76792D">
                  <wp:extent cx="2371725" cy="3072203"/>
                  <wp:effectExtent l="19050" t="0" r="9525" b="0"/>
                  <wp:docPr id="6" name="Picture 2" descr="C:\Documents and Settings\kwie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wies\Desktop\Untitled.jpg"/>
                          <pic:cNvPicPr>
                            <a:picLocks noChangeAspect="1" noChangeArrowheads="1"/>
                          </pic:cNvPicPr>
                        </pic:nvPicPr>
                        <pic:blipFill>
                          <a:blip r:embed="rId15" cstate="print"/>
                          <a:srcRect/>
                          <a:stretch>
                            <a:fillRect/>
                          </a:stretch>
                        </pic:blipFill>
                        <pic:spPr bwMode="auto">
                          <a:xfrm>
                            <a:off x="0" y="0"/>
                            <a:ext cx="2374320" cy="3075564"/>
                          </a:xfrm>
                          <a:prstGeom prst="rect">
                            <a:avLst/>
                          </a:prstGeom>
                          <a:noFill/>
                          <a:ln w="9525">
                            <a:noFill/>
                            <a:miter lim="800000"/>
                            <a:headEnd/>
                            <a:tailEnd/>
                          </a:ln>
                        </pic:spPr>
                      </pic:pic>
                    </a:graphicData>
                  </a:graphic>
                </wp:inline>
              </w:drawing>
            </w:r>
          </w:p>
          <w:p w:rsidR="003D7A7C" w:rsidRDefault="003D7A7C"/>
        </w:tc>
        <w:tc>
          <w:tcPr>
            <w:tcW w:w="4392" w:type="dxa"/>
          </w:tcPr>
          <w:p w:rsidR="00846B69" w:rsidRDefault="00846B69" w:rsidP="00846B69">
            <w:pPr>
              <w:pStyle w:val="Caption"/>
            </w:pPr>
            <w:r>
              <w:t>New 2010 minus Original 2010 Estimate</w:t>
            </w:r>
          </w:p>
          <w:p w:rsidR="00846B69" w:rsidRDefault="00FD248C" w:rsidP="00846B69">
            <w:pPr>
              <w:rPr>
                <w:rFonts w:ascii="Palatino Linotype" w:hAnsi="Palatino Linotype"/>
              </w:rPr>
            </w:pPr>
            <w:r>
              <w:rPr>
                <w:noProof/>
              </w:rPr>
              <w:drawing>
                <wp:inline distT="0" distB="0" distL="0" distR="0" wp14:anchorId="35137789" wp14:editId="46DD8CFC">
                  <wp:extent cx="2268651" cy="2932671"/>
                  <wp:effectExtent l="19050" t="0" r="0" b="0"/>
                  <wp:docPr id="2" name="Picture 2" descr="C:\Documents and Settings\kwie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wies\Desktop\Untitled.jpg"/>
                          <pic:cNvPicPr>
                            <a:picLocks noChangeAspect="1" noChangeArrowheads="1"/>
                          </pic:cNvPicPr>
                        </pic:nvPicPr>
                        <pic:blipFill>
                          <a:blip r:embed="rId16" cstate="print"/>
                          <a:srcRect/>
                          <a:stretch>
                            <a:fillRect/>
                          </a:stretch>
                        </pic:blipFill>
                        <pic:spPr bwMode="auto">
                          <a:xfrm>
                            <a:off x="0" y="0"/>
                            <a:ext cx="2268762" cy="2932815"/>
                          </a:xfrm>
                          <a:prstGeom prst="rect">
                            <a:avLst/>
                          </a:prstGeom>
                          <a:noFill/>
                          <a:ln w="9525">
                            <a:noFill/>
                            <a:miter lim="800000"/>
                            <a:headEnd/>
                            <a:tailEnd/>
                          </a:ln>
                        </pic:spPr>
                      </pic:pic>
                    </a:graphicData>
                  </a:graphic>
                </wp:inline>
              </w:drawing>
            </w:r>
          </w:p>
          <w:p w:rsidR="003D7A7C" w:rsidRDefault="003D7A7C"/>
        </w:tc>
      </w:tr>
    </w:tbl>
    <w:p w:rsidR="00036BDA" w:rsidRDefault="00E1379C" w:rsidP="00036BDA">
      <w:pPr>
        <w:pStyle w:val="Heading2"/>
        <w:rPr>
          <w:rFonts w:ascii="Palatino Linotype" w:hAnsi="Palatino Linotype"/>
        </w:rPr>
      </w:pPr>
      <w:bookmarkStart w:id="12" w:name="_Toc253553610"/>
      <w:bookmarkStart w:id="13" w:name="_Toc284935552"/>
      <w:r>
        <w:rPr>
          <w:rFonts w:ascii="Palatino Linotype" w:hAnsi="Palatino Linotype"/>
        </w:rPr>
        <w:lastRenderedPageBreak/>
        <w:t xml:space="preserve">Base Year (2010) </w:t>
      </w:r>
      <w:r w:rsidR="00036BDA">
        <w:rPr>
          <w:rFonts w:ascii="Palatino Linotype" w:hAnsi="Palatino Linotype"/>
        </w:rPr>
        <w:t>Employment</w:t>
      </w:r>
      <w:bookmarkEnd w:id="12"/>
      <w:r>
        <w:rPr>
          <w:rFonts w:ascii="Palatino Linotype" w:hAnsi="Palatino Linotype"/>
        </w:rPr>
        <w:t xml:space="preserve"> Validation</w:t>
      </w:r>
      <w:bookmarkEnd w:id="13"/>
    </w:p>
    <w:p w:rsidR="00FF263F" w:rsidRDefault="00846B69" w:rsidP="00846B69">
      <w:pPr>
        <w:rPr>
          <w:rFonts w:ascii="Palatino Linotype" w:hAnsi="Palatino Linotype"/>
        </w:rPr>
      </w:pPr>
      <w:r>
        <w:rPr>
          <w:rFonts w:ascii="Palatino Linotype" w:hAnsi="Palatino Linotype"/>
        </w:rPr>
        <w:t xml:space="preserve">The Illinois Department of Employment Security prepares </w:t>
      </w:r>
      <w:r w:rsidR="000B2786">
        <w:rPr>
          <w:rFonts w:ascii="Palatino Linotype" w:hAnsi="Palatino Linotype"/>
        </w:rPr>
        <w:t>reports</w:t>
      </w:r>
      <w:r>
        <w:rPr>
          <w:rFonts w:ascii="Palatino Linotype" w:hAnsi="Palatino Linotype"/>
        </w:rPr>
        <w:t xml:space="preserve"> of </w:t>
      </w:r>
      <w:r w:rsidR="000B2786">
        <w:rPr>
          <w:rFonts w:ascii="Palatino Linotype" w:hAnsi="Palatino Linotype"/>
        </w:rPr>
        <w:t>employee counts</w:t>
      </w:r>
      <w:r w:rsidR="007D607F">
        <w:rPr>
          <w:rFonts w:ascii="Palatino Linotype" w:hAnsi="Palatino Linotype"/>
        </w:rPr>
        <w:t xml:space="preserve"> by employer address.  </w:t>
      </w:r>
      <w:r w:rsidR="00561465">
        <w:rPr>
          <w:rFonts w:ascii="Palatino Linotype" w:hAnsi="Palatino Linotype"/>
        </w:rPr>
        <w:t xml:space="preserve">These addresses are matched to </w:t>
      </w:r>
      <w:r w:rsidR="007D607F">
        <w:rPr>
          <w:rFonts w:ascii="Palatino Linotype" w:hAnsi="Palatino Linotype"/>
        </w:rPr>
        <w:t>geographic</w:t>
      </w:r>
      <w:r w:rsidR="00D939FB">
        <w:rPr>
          <w:rFonts w:ascii="Palatino Linotype" w:hAnsi="Palatino Linotype"/>
        </w:rPr>
        <w:t xml:space="preserve"> coordinates</w:t>
      </w:r>
      <w:r w:rsidR="00561465">
        <w:rPr>
          <w:rFonts w:ascii="Palatino Linotype" w:hAnsi="Palatino Linotype"/>
        </w:rPr>
        <w:t xml:space="preserve"> and summed by modeling subzone.  A good deal of</w:t>
      </w:r>
      <w:r w:rsidR="00D939FB">
        <w:rPr>
          <w:rFonts w:ascii="Palatino Linotype" w:hAnsi="Palatino Linotype"/>
        </w:rPr>
        <w:t xml:space="preserve"> manual</w:t>
      </w:r>
      <w:r w:rsidR="00561465">
        <w:rPr>
          <w:rFonts w:ascii="Palatino Linotype" w:hAnsi="Palatino Linotype"/>
        </w:rPr>
        <w:t xml:space="preserve"> </w:t>
      </w:r>
      <w:r w:rsidR="00561465" w:rsidRPr="00FB55AD">
        <w:rPr>
          <w:rFonts w:ascii="Palatino Linotype" w:hAnsi="Palatino Linotype"/>
        </w:rPr>
        <w:t>data cleaning</w:t>
      </w:r>
      <w:r w:rsidR="00561465">
        <w:rPr>
          <w:rFonts w:ascii="Palatino Linotype" w:hAnsi="Palatino Linotype"/>
        </w:rPr>
        <w:t xml:space="preserve"> is necessary, primarily to separate corporate from on-site employment rosters</w:t>
      </w:r>
      <w:r w:rsidR="000B2786">
        <w:rPr>
          <w:rFonts w:ascii="Palatino Linotype" w:hAnsi="Palatino Linotype"/>
        </w:rPr>
        <w:t xml:space="preserve"> and to include employment sectors that do not participate in the State’s unemployment insurance program</w:t>
      </w:r>
      <w:r w:rsidR="00561465">
        <w:rPr>
          <w:rFonts w:ascii="Palatino Linotype" w:hAnsi="Palatino Linotype"/>
        </w:rPr>
        <w:t xml:space="preserve">. </w:t>
      </w:r>
    </w:p>
    <w:p w:rsidR="00FF263F" w:rsidRDefault="00561465" w:rsidP="00846B69">
      <w:pPr>
        <w:rPr>
          <w:rFonts w:ascii="Palatino Linotype" w:hAnsi="Palatino Linotype"/>
        </w:rPr>
      </w:pPr>
      <w:r>
        <w:rPr>
          <w:rFonts w:ascii="Palatino Linotype" w:hAnsi="Palatino Linotype"/>
        </w:rPr>
        <w:t xml:space="preserve">A comparison was made between the current 2007 employment estimates and the 2010 socioeconomic file produced </w:t>
      </w:r>
      <w:r w:rsidR="002F020E">
        <w:rPr>
          <w:rFonts w:ascii="Palatino Linotype" w:hAnsi="Palatino Linotype"/>
        </w:rPr>
        <w:t>for the previous long range plan</w:t>
      </w:r>
      <w:r>
        <w:rPr>
          <w:rFonts w:ascii="Palatino Linotype" w:hAnsi="Palatino Linotype"/>
        </w:rPr>
        <w:t>.  While county-wide totals were</w:t>
      </w:r>
      <w:r w:rsidR="00E663FA">
        <w:rPr>
          <w:rFonts w:ascii="Palatino Linotype" w:hAnsi="Palatino Linotype"/>
        </w:rPr>
        <w:t xml:space="preserve"> reasonably</w:t>
      </w:r>
      <w:r>
        <w:rPr>
          <w:rFonts w:ascii="Palatino Linotype" w:hAnsi="Palatino Linotype"/>
        </w:rPr>
        <w:t xml:space="preserve"> close, there was wide v</w:t>
      </w:r>
      <w:r w:rsidR="00F02700">
        <w:rPr>
          <w:rFonts w:ascii="Palatino Linotype" w:hAnsi="Palatino Linotype"/>
        </w:rPr>
        <w:t>ariation in sub-county (MCD/CA</w:t>
      </w:r>
      <w:r>
        <w:rPr>
          <w:rFonts w:ascii="Palatino Linotype" w:hAnsi="Palatino Linotype"/>
        </w:rPr>
        <w:t>)</w:t>
      </w:r>
      <w:r w:rsidR="00F02700">
        <w:rPr>
          <w:rFonts w:ascii="Palatino Linotype" w:hAnsi="Palatino Linotype"/>
        </w:rPr>
        <w:t xml:space="preserve"> allocations</w:t>
      </w:r>
      <w:r>
        <w:rPr>
          <w:rFonts w:ascii="Palatino Linotype" w:hAnsi="Palatino Linotype"/>
        </w:rPr>
        <w:t xml:space="preserve">.  Because the original employment variables were the product of an interpolation exercise, and because automatic address-matching was not </w:t>
      </w:r>
      <w:r w:rsidR="00D939FB">
        <w:rPr>
          <w:rFonts w:ascii="Palatino Linotype" w:hAnsi="Palatino Linotype"/>
        </w:rPr>
        <w:t>available</w:t>
      </w:r>
      <w:r w:rsidR="0038480F">
        <w:rPr>
          <w:rFonts w:ascii="Palatino Linotype" w:hAnsi="Palatino Linotype"/>
        </w:rPr>
        <w:t xml:space="preserve"> to locate them</w:t>
      </w:r>
      <w:r w:rsidR="00D939FB">
        <w:rPr>
          <w:rFonts w:ascii="Palatino Linotype" w:hAnsi="Palatino Linotype"/>
        </w:rPr>
        <w:t xml:space="preserve"> </w:t>
      </w:r>
      <w:r w:rsidR="001A21DF">
        <w:rPr>
          <w:rFonts w:ascii="Palatino Linotype" w:hAnsi="Palatino Linotype"/>
        </w:rPr>
        <w:t>in</w:t>
      </w:r>
      <w:r w:rsidR="00D939FB">
        <w:rPr>
          <w:rFonts w:ascii="Palatino Linotype" w:hAnsi="Palatino Linotype"/>
        </w:rPr>
        <w:t xml:space="preserve"> 2003</w:t>
      </w:r>
      <w:r>
        <w:rPr>
          <w:rFonts w:ascii="Palatino Linotype" w:hAnsi="Palatino Linotype"/>
        </w:rPr>
        <w:t xml:space="preserve">, </w:t>
      </w:r>
      <w:r w:rsidR="00C409A0">
        <w:rPr>
          <w:rFonts w:ascii="Palatino Linotype" w:hAnsi="Palatino Linotype"/>
        </w:rPr>
        <w:t>the more recent</w:t>
      </w:r>
      <w:r w:rsidR="00D939FB">
        <w:rPr>
          <w:rFonts w:ascii="Palatino Linotype" w:hAnsi="Palatino Linotype"/>
        </w:rPr>
        <w:t xml:space="preserve"> data</w:t>
      </w:r>
      <w:r>
        <w:rPr>
          <w:rFonts w:ascii="Palatino Linotype" w:hAnsi="Palatino Linotype"/>
        </w:rPr>
        <w:t xml:space="preserve"> </w:t>
      </w:r>
      <w:r w:rsidR="006A7D6F">
        <w:rPr>
          <w:rFonts w:ascii="Palatino Linotype" w:hAnsi="Palatino Linotype"/>
        </w:rPr>
        <w:t>was used directly</w:t>
      </w:r>
      <w:r w:rsidR="00C409A0">
        <w:rPr>
          <w:rFonts w:ascii="Palatino Linotype" w:hAnsi="Palatino Linotype"/>
        </w:rPr>
        <w:t>, rather than as a correction to original subzone estimates</w:t>
      </w:r>
      <w:r>
        <w:rPr>
          <w:rFonts w:ascii="Palatino Linotype" w:hAnsi="Palatino Linotype"/>
        </w:rPr>
        <w:t xml:space="preserve">.  </w:t>
      </w:r>
      <w:r w:rsidR="00F02700">
        <w:rPr>
          <w:rFonts w:ascii="Palatino Linotype" w:hAnsi="Palatino Linotype"/>
        </w:rPr>
        <w:t xml:space="preserve">Based on </w:t>
      </w:r>
      <w:r w:rsidR="00F02700" w:rsidRPr="00FB55AD">
        <w:rPr>
          <w:rFonts w:ascii="Palatino Linotype" w:hAnsi="Palatino Linotype"/>
        </w:rPr>
        <w:t>regional economic forecasts</w:t>
      </w:r>
      <w:r w:rsidR="00F02700">
        <w:rPr>
          <w:rFonts w:ascii="Palatino Linotype" w:hAnsi="Palatino Linotype"/>
        </w:rPr>
        <w:t xml:space="preserve"> prepared by the University of Illinois, total e</w:t>
      </w:r>
      <w:r w:rsidR="00FF2EC6">
        <w:rPr>
          <w:rFonts w:ascii="Palatino Linotype" w:hAnsi="Palatino Linotype"/>
        </w:rPr>
        <w:t>mployment levels were elevated at an observed level of 0.6% annually to arrive at the 2010 estimate.</w:t>
      </w:r>
      <w:r w:rsidR="00F67061">
        <w:rPr>
          <w:rFonts w:ascii="Palatino Linotype" w:hAnsi="Palatino Linotype"/>
        </w:rPr>
        <w:t xml:space="preserve">  </w:t>
      </w:r>
    </w:p>
    <w:p w:rsidR="00D939FB" w:rsidRDefault="00D939FB" w:rsidP="00846B69">
      <w:pPr>
        <w:rPr>
          <w:rFonts w:ascii="Palatino Linotype" w:hAnsi="Palatino Linotype"/>
          <w:i/>
        </w:rPr>
      </w:pPr>
      <w:r>
        <w:rPr>
          <w:rFonts w:ascii="Palatino Linotype" w:hAnsi="Palatino Linotype"/>
        </w:rPr>
        <w:t xml:space="preserve">In a significant departure from past practice, only wage and salary </w:t>
      </w:r>
      <w:r w:rsidR="00F750C5">
        <w:rPr>
          <w:rFonts w:ascii="Palatino Linotype" w:hAnsi="Palatino Linotype"/>
        </w:rPr>
        <w:t>jobs</w:t>
      </w:r>
      <w:r>
        <w:rPr>
          <w:rFonts w:ascii="Palatino Linotype" w:hAnsi="Palatino Linotype"/>
        </w:rPr>
        <w:t xml:space="preserve"> </w:t>
      </w:r>
      <w:r w:rsidR="00F750C5">
        <w:rPr>
          <w:rFonts w:ascii="Palatino Linotype" w:hAnsi="Palatino Linotype"/>
        </w:rPr>
        <w:t xml:space="preserve">with verifiable geographic addresses </w:t>
      </w:r>
      <w:r>
        <w:rPr>
          <w:rFonts w:ascii="Palatino Linotype" w:hAnsi="Palatino Linotype"/>
        </w:rPr>
        <w:t xml:space="preserve">are </w:t>
      </w:r>
      <w:r w:rsidR="00A34D1E">
        <w:rPr>
          <w:rFonts w:ascii="Palatino Linotype" w:hAnsi="Palatino Linotype"/>
        </w:rPr>
        <w:t xml:space="preserve">included in the job estimates. </w:t>
      </w:r>
      <w:r w:rsidR="00C549B4">
        <w:rPr>
          <w:rFonts w:ascii="Palatino Linotype" w:hAnsi="Palatino Linotype"/>
        </w:rPr>
        <w:t xml:space="preserve"> </w:t>
      </w:r>
      <w:r w:rsidR="00A34D1E" w:rsidRPr="00A34D1E">
        <w:rPr>
          <w:rFonts w:ascii="Palatino Linotype" w:hAnsi="Palatino Linotype"/>
        </w:rPr>
        <w:t>T</w:t>
      </w:r>
      <w:r w:rsidR="00F750C5" w:rsidRPr="00A34D1E">
        <w:rPr>
          <w:rFonts w:ascii="Palatino Linotype" w:hAnsi="Palatino Linotype"/>
        </w:rPr>
        <w:t>hese</w:t>
      </w:r>
      <w:r w:rsidR="00F02700">
        <w:rPr>
          <w:rFonts w:ascii="Palatino Linotype" w:hAnsi="Palatino Linotype"/>
        </w:rPr>
        <w:t xml:space="preserve"> are</w:t>
      </w:r>
      <w:r w:rsidR="00F750C5" w:rsidRPr="00A34D1E">
        <w:rPr>
          <w:rFonts w:ascii="Palatino Linotype" w:hAnsi="Palatino Linotype"/>
        </w:rPr>
        <w:t xml:space="preserve"> adjusted to match</w:t>
      </w:r>
      <w:r w:rsidR="00A34D1E">
        <w:rPr>
          <w:rFonts w:ascii="Palatino Linotype" w:hAnsi="Palatino Linotype"/>
        </w:rPr>
        <w:t xml:space="preserve"> totals published by the Bureau of </w:t>
      </w:r>
      <w:r w:rsidR="00F750C5" w:rsidRPr="00A34D1E">
        <w:rPr>
          <w:rFonts w:ascii="Palatino Linotype" w:hAnsi="Palatino Linotype"/>
        </w:rPr>
        <w:t>L</w:t>
      </w:r>
      <w:r w:rsidR="00A34D1E">
        <w:rPr>
          <w:rFonts w:ascii="Palatino Linotype" w:hAnsi="Palatino Linotype"/>
        </w:rPr>
        <w:t xml:space="preserve">abor </w:t>
      </w:r>
      <w:r w:rsidR="00F750C5" w:rsidRPr="00A34D1E">
        <w:rPr>
          <w:rFonts w:ascii="Palatino Linotype" w:hAnsi="Palatino Linotype"/>
        </w:rPr>
        <w:t>S</w:t>
      </w:r>
      <w:r w:rsidR="00A34D1E">
        <w:rPr>
          <w:rFonts w:ascii="Palatino Linotype" w:hAnsi="Palatino Linotype"/>
        </w:rPr>
        <w:t xml:space="preserve">tatistics at the county level.  </w:t>
      </w:r>
      <w:r>
        <w:rPr>
          <w:rFonts w:ascii="Palatino Linotype" w:hAnsi="Palatino Linotype"/>
        </w:rPr>
        <w:t xml:space="preserve">While these represent the vast majority of jobs in the region, </w:t>
      </w:r>
      <w:r w:rsidR="00C0050A">
        <w:rPr>
          <w:rFonts w:ascii="Palatino Linotype" w:hAnsi="Palatino Linotype"/>
        </w:rPr>
        <w:t xml:space="preserve">there are small sectors such as </w:t>
      </w:r>
      <w:r w:rsidR="00F750C5">
        <w:rPr>
          <w:rFonts w:ascii="Palatino Linotype" w:hAnsi="Palatino Linotype"/>
        </w:rPr>
        <w:t>the self-employed that are not included.</w:t>
      </w:r>
      <w:r w:rsidR="00EE2D5D">
        <w:rPr>
          <w:rFonts w:ascii="Palatino Linotype" w:hAnsi="Palatino Linotype"/>
        </w:rPr>
        <w:t xml:space="preserve">  The reason for this departure is that the resulting wage and salary totals more closely match the number of workers in households estimated by the </w:t>
      </w:r>
      <w:r w:rsidR="001A21DF">
        <w:rPr>
          <w:rFonts w:ascii="Palatino Linotype" w:hAnsi="Palatino Linotype"/>
        </w:rPr>
        <w:t>Census</w:t>
      </w:r>
      <w:r w:rsidR="001B5A4A">
        <w:rPr>
          <w:rFonts w:ascii="Palatino Linotype" w:hAnsi="Palatino Linotype"/>
        </w:rPr>
        <w:t xml:space="preserve"> and more readily represent the work end of daily commuting on the region’s transportation system</w:t>
      </w:r>
      <w:r w:rsidR="00EE2D5D">
        <w:rPr>
          <w:rFonts w:ascii="Palatino Linotype" w:hAnsi="Palatino Linotype"/>
        </w:rPr>
        <w:t>.</w:t>
      </w:r>
      <w:r w:rsidR="000B2786">
        <w:rPr>
          <w:rFonts w:ascii="Palatino Linotype" w:hAnsi="Palatino Linotype"/>
        </w:rPr>
        <w:t xml:space="preserve">  </w:t>
      </w:r>
      <w:r w:rsidR="000B2786" w:rsidRPr="009E202D">
        <w:rPr>
          <w:rFonts w:ascii="Palatino Linotype" w:hAnsi="Palatino Linotype"/>
        </w:rPr>
        <w:t xml:space="preserve">We recognize that </w:t>
      </w:r>
      <w:r w:rsidR="00C409A0" w:rsidRPr="009E202D">
        <w:rPr>
          <w:rFonts w:ascii="Palatino Linotype" w:hAnsi="Palatino Linotype"/>
        </w:rPr>
        <w:t>specific</w:t>
      </w:r>
      <w:r w:rsidR="000B2786" w:rsidRPr="009E202D">
        <w:rPr>
          <w:rFonts w:ascii="Palatino Linotype" w:hAnsi="Palatino Linotype"/>
        </w:rPr>
        <w:t xml:space="preserve"> employment definitions will cause total employment values to vary significantly.  This definition suits the constraints im</w:t>
      </w:r>
      <w:r w:rsidR="00C0050A" w:rsidRPr="009E202D">
        <w:rPr>
          <w:rFonts w:ascii="Palatino Linotype" w:hAnsi="Palatino Linotype"/>
        </w:rPr>
        <w:t>posed by regional transportatio</w:t>
      </w:r>
      <w:r w:rsidR="007270B1" w:rsidRPr="009E202D">
        <w:rPr>
          <w:rFonts w:ascii="Palatino Linotype" w:hAnsi="Palatino Linotype"/>
        </w:rPr>
        <w:t>n</w:t>
      </w:r>
      <w:r w:rsidR="000B2786" w:rsidRPr="009E202D">
        <w:rPr>
          <w:rFonts w:ascii="Palatino Linotype" w:hAnsi="Palatino Linotype"/>
        </w:rPr>
        <w:t xml:space="preserve"> and land use modeling, but may not be suitable for economic analyses </w:t>
      </w:r>
      <w:r w:rsidR="00A92395" w:rsidRPr="009E202D">
        <w:rPr>
          <w:rFonts w:ascii="Palatino Linotype" w:hAnsi="Palatino Linotype"/>
        </w:rPr>
        <w:t>that focus on commerce, industry</w:t>
      </w:r>
      <w:r w:rsidR="00C549B4">
        <w:rPr>
          <w:rFonts w:ascii="Palatino Linotype" w:hAnsi="Palatino Linotype"/>
        </w:rPr>
        <w:t>,</w:t>
      </w:r>
      <w:r w:rsidR="00A92395" w:rsidRPr="009E202D">
        <w:rPr>
          <w:rFonts w:ascii="Palatino Linotype" w:hAnsi="Palatino Linotype"/>
        </w:rPr>
        <w:t xml:space="preserve"> and labor force questions.</w:t>
      </w:r>
    </w:p>
    <w:p w:rsidR="00AA518D" w:rsidRDefault="00AA518D">
      <w:r>
        <w:br w:type="page"/>
      </w:r>
    </w:p>
    <w:p w:rsidR="00AA518D" w:rsidRPr="009A421B" w:rsidRDefault="00AA518D" w:rsidP="00846B69">
      <w:pPr>
        <w:rPr>
          <w:b/>
          <w:color w:val="4F81BD" w:themeColor="accent1"/>
        </w:rPr>
      </w:pPr>
      <w:bookmarkStart w:id="14" w:name="_Toc262193784"/>
      <w:bookmarkStart w:id="15" w:name="_Toc284935626"/>
      <w:r w:rsidRPr="009A421B">
        <w:rPr>
          <w:b/>
          <w:color w:val="4F81BD" w:themeColor="accent1"/>
        </w:rPr>
        <w:lastRenderedPageBreak/>
        <w:t xml:space="preserve">Figure </w:t>
      </w:r>
      <w:r w:rsidR="009A421B" w:rsidRPr="009A421B">
        <w:rPr>
          <w:b/>
          <w:color w:val="4F81BD" w:themeColor="accent1"/>
        </w:rPr>
        <w:fldChar w:fldCharType="begin"/>
      </w:r>
      <w:r w:rsidR="009A421B" w:rsidRPr="009A421B">
        <w:rPr>
          <w:b/>
          <w:color w:val="4F81BD" w:themeColor="accent1"/>
        </w:rPr>
        <w:instrText xml:space="preserve"> SEQ Figure \* ARABIC </w:instrText>
      </w:r>
      <w:r w:rsidR="009A421B" w:rsidRPr="009A421B">
        <w:rPr>
          <w:b/>
          <w:color w:val="4F81BD" w:themeColor="accent1"/>
        </w:rPr>
        <w:fldChar w:fldCharType="separate"/>
      </w:r>
      <w:r w:rsidR="009B0830" w:rsidRPr="009A421B">
        <w:rPr>
          <w:b/>
          <w:noProof/>
          <w:color w:val="4F81BD" w:themeColor="accent1"/>
        </w:rPr>
        <w:t>3</w:t>
      </w:r>
      <w:r w:rsidR="009A421B" w:rsidRPr="009A421B">
        <w:rPr>
          <w:b/>
          <w:noProof/>
          <w:color w:val="4F81BD" w:themeColor="accent1"/>
        </w:rPr>
        <w:fldChar w:fldCharType="end"/>
      </w:r>
      <w:r w:rsidRPr="009A421B">
        <w:rPr>
          <w:b/>
          <w:color w:val="4F81BD" w:themeColor="accent1"/>
        </w:rPr>
        <w:t xml:space="preserve">: </w:t>
      </w:r>
      <w:r w:rsidR="001F1569">
        <w:rPr>
          <w:b/>
          <w:color w:val="4F81BD" w:themeColor="accent1"/>
        </w:rPr>
        <w:t xml:space="preserve"> </w:t>
      </w:r>
      <w:r w:rsidRPr="009A421B">
        <w:rPr>
          <w:b/>
          <w:color w:val="4F81BD" w:themeColor="accent1"/>
        </w:rPr>
        <w:t>2010</w:t>
      </w:r>
      <w:r w:rsidR="00C0050A" w:rsidRPr="009A421B">
        <w:rPr>
          <w:b/>
          <w:color w:val="4F81BD" w:themeColor="accent1"/>
        </w:rPr>
        <w:t xml:space="preserve"> </w:t>
      </w:r>
      <w:r w:rsidRPr="009A421B">
        <w:rPr>
          <w:b/>
          <w:color w:val="4F81BD" w:themeColor="accent1"/>
        </w:rPr>
        <w:t>Employment Estimates</w:t>
      </w:r>
      <w:bookmarkEnd w:id="14"/>
      <w:bookmarkEnd w:id="15"/>
    </w:p>
    <w:tbl>
      <w:tblPr>
        <w:tblStyle w:val="TableGrid"/>
        <w:tblW w:w="0" w:type="auto"/>
        <w:tblLook w:val="04A0" w:firstRow="1" w:lastRow="0" w:firstColumn="1" w:lastColumn="0" w:noHBand="0" w:noVBand="1"/>
      </w:tblPr>
      <w:tblGrid>
        <w:gridCol w:w="4392"/>
        <w:gridCol w:w="4392"/>
        <w:gridCol w:w="4392"/>
      </w:tblGrid>
      <w:tr w:rsidR="00E663FA" w:rsidTr="00E663FA">
        <w:tc>
          <w:tcPr>
            <w:tcW w:w="4392" w:type="dxa"/>
          </w:tcPr>
          <w:p w:rsidR="00E663FA" w:rsidRDefault="00E663FA" w:rsidP="00E663FA">
            <w:pPr>
              <w:pStyle w:val="Caption"/>
            </w:pPr>
            <w:r>
              <w:t xml:space="preserve"> Original 2010 Estimate</w:t>
            </w:r>
          </w:p>
          <w:p w:rsidR="00E663FA" w:rsidRPr="00DA539F" w:rsidRDefault="00E663FA" w:rsidP="00E663FA">
            <w:r>
              <w:rPr>
                <w:rFonts w:ascii="Palatino Linotype" w:hAnsi="Palatino Linotype"/>
                <w:noProof/>
              </w:rPr>
              <w:drawing>
                <wp:inline distT="0" distB="0" distL="0" distR="0" wp14:anchorId="3C76894F" wp14:editId="2A7E711E">
                  <wp:extent cx="2517184" cy="3253946"/>
                  <wp:effectExtent l="19050" t="0" r="0" b="0"/>
                  <wp:docPr id="14" name="Picture 2" descr="C:\Documents and Settings\kwie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wies\Desktop\Untitled.jpg"/>
                          <pic:cNvPicPr>
                            <a:picLocks noChangeAspect="1" noChangeArrowheads="1"/>
                          </pic:cNvPicPr>
                        </pic:nvPicPr>
                        <pic:blipFill>
                          <a:blip r:embed="rId17" cstate="print"/>
                          <a:srcRect/>
                          <a:stretch>
                            <a:fillRect/>
                          </a:stretch>
                        </pic:blipFill>
                        <pic:spPr bwMode="auto">
                          <a:xfrm>
                            <a:off x="0" y="0"/>
                            <a:ext cx="2520732" cy="3258533"/>
                          </a:xfrm>
                          <a:prstGeom prst="rect">
                            <a:avLst/>
                          </a:prstGeom>
                          <a:noFill/>
                          <a:ln w="9525">
                            <a:noFill/>
                            <a:miter lim="800000"/>
                            <a:headEnd/>
                            <a:tailEnd/>
                          </a:ln>
                        </pic:spPr>
                      </pic:pic>
                    </a:graphicData>
                  </a:graphic>
                </wp:inline>
              </w:drawing>
            </w:r>
          </w:p>
          <w:p w:rsidR="00E663FA" w:rsidRDefault="00E663FA" w:rsidP="00E663FA"/>
        </w:tc>
        <w:tc>
          <w:tcPr>
            <w:tcW w:w="4392" w:type="dxa"/>
          </w:tcPr>
          <w:p w:rsidR="00E663FA" w:rsidRDefault="00E663FA" w:rsidP="00E663FA">
            <w:pPr>
              <w:pStyle w:val="Caption"/>
            </w:pPr>
            <w:r>
              <w:t>New 2010 Estimate</w:t>
            </w:r>
          </w:p>
          <w:p w:rsidR="00E663FA" w:rsidRPr="00DA539F" w:rsidRDefault="00E663FA" w:rsidP="00E663FA">
            <w:r>
              <w:rPr>
                <w:rFonts w:ascii="Palatino Linotype" w:hAnsi="Palatino Linotype"/>
                <w:noProof/>
              </w:rPr>
              <w:drawing>
                <wp:inline distT="0" distB="0" distL="0" distR="0" wp14:anchorId="4FC6686F" wp14:editId="09A150AE">
                  <wp:extent cx="2517183" cy="3253946"/>
                  <wp:effectExtent l="19050" t="0" r="0" b="0"/>
                  <wp:docPr id="16" name="Picture 3" descr="C:\Documents and Settings\kwie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wies\Desktop\Untitled.jpg"/>
                          <pic:cNvPicPr>
                            <a:picLocks noChangeAspect="1" noChangeArrowheads="1"/>
                          </pic:cNvPicPr>
                        </pic:nvPicPr>
                        <pic:blipFill>
                          <a:blip r:embed="rId18" cstate="print"/>
                          <a:srcRect/>
                          <a:stretch>
                            <a:fillRect/>
                          </a:stretch>
                        </pic:blipFill>
                        <pic:spPr bwMode="auto">
                          <a:xfrm>
                            <a:off x="0" y="0"/>
                            <a:ext cx="2517307" cy="3254107"/>
                          </a:xfrm>
                          <a:prstGeom prst="rect">
                            <a:avLst/>
                          </a:prstGeom>
                          <a:noFill/>
                          <a:ln w="9525">
                            <a:noFill/>
                            <a:miter lim="800000"/>
                            <a:headEnd/>
                            <a:tailEnd/>
                          </a:ln>
                        </pic:spPr>
                      </pic:pic>
                    </a:graphicData>
                  </a:graphic>
                </wp:inline>
              </w:drawing>
            </w:r>
          </w:p>
          <w:p w:rsidR="00E663FA" w:rsidRDefault="00E663FA" w:rsidP="00E663FA"/>
        </w:tc>
        <w:tc>
          <w:tcPr>
            <w:tcW w:w="4392" w:type="dxa"/>
          </w:tcPr>
          <w:p w:rsidR="00E663FA" w:rsidRDefault="00E663FA" w:rsidP="00E663FA">
            <w:pPr>
              <w:pStyle w:val="Caption"/>
            </w:pPr>
            <w:r w:rsidRPr="00CC31B9">
              <w:rPr>
                <w:sz w:val="14"/>
              </w:rPr>
              <w:t>New 2010 minus Original 2010 Estimate</w:t>
            </w:r>
          </w:p>
          <w:p w:rsidR="00E663FA" w:rsidRDefault="00E663FA" w:rsidP="00E663FA">
            <w:pPr>
              <w:rPr>
                <w:rFonts w:ascii="Palatino Linotype" w:hAnsi="Palatino Linotype"/>
              </w:rPr>
            </w:pPr>
            <w:r>
              <w:rPr>
                <w:noProof/>
              </w:rPr>
              <w:drawing>
                <wp:inline distT="0" distB="0" distL="0" distR="0" wp14:anchorId="0CA0DB56" wp14:editId="120B2798">
                  <wp:extent cx="2536300" cy="3278659"/>
                  <wp:effectExtent l="19050" t="0" r="0" b="0"/>
                  <wp:docPr id="12" name="Picture 1" descr="C:\Documents and Settings\kwie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wies\Desktop\Untitled.jpg"/>
                          <pic:cNvPicPr>
                            <a:picLocks noChangeAspect="1" noChangeArrowheads="1"/>
                          </pic:cNvPicPr>
                        </pic:nvPicPr>
                        <pic:blipFill>
                          <a:blip r:embed="rId19" cstate="print"/>
                          <a:srcRect/>
                          <a:stretch>
                            <a:fillRect/>
                          </a:stretch>
                        </pic:blipFill>
                        <pic:spPr bwMode="auto">
                          <a:xfrm>
                            <a:off x="0" y="0"/>
                            <a:ext cx="2540842" cy="3284531"/>
                          </a:xfrm>
                          <a:prstGeom prst="rect">
                            <a:avLst/>
                          </a:prstGeom>
                          <a:noFill/>
                          <a:ln w="9525">
                            <a:noFill/>
                            <a:miter lim="800000"/>
                            <a:headEnd/>
                            <a:tailEnd/>
                          </a:ln>
                        </pic:spPr>
                      </pic:pic>
                    </a:graphicData>
                  </a:graphic>
                </wp:inline>
              </w:drawing>
            </w:r>
          </w:p>
          <w:p w:rsidR="00E663FA" w:rsidRDefault="00E663FA" w:rsidP="00E663FA"/>
        </w:tc>
      </w:tr>
    </w:tbl>
    <w:p w:rsidR="0049629C" w:rsidRDefault="00514064" w:rsidP="00FF263F">
      <w:pPr>
        <w:pStyle w:val="Heading1"/>
        <w:rPr>
          <w:rFonts w:ascii="Palatino Linotype" w:hAnsi="Palatino Linotype"/>
        </w:rPr>
      </w:pPr>
      <w:bookmarkStart w:id="16" w:name="_Toc253553611"/>
      <w:bookmarkStart w:id="17" w:name="_Toc284935553"/>
      <w:r>
        <w:rPr>
          <w:rFonts w:ascii="Palatino Linotype" w:hAnsi="Palatino Linotype"/>
        </w:rPr>
        <w:t>Forecasting urban activity</w:t>
      </w:r>
      <w:bookmarkEnd w:id="16"/>
      <w:bookmarkEnd w:id="17"/>
    </w:p>
    <w:p w:rsidR="009E1F22" w:rsidRDefault="008168F1" w:rsidP="008168F1">
      <w:pPr>
        <w:rPr>
          <w:rFonts w:ascii="Palatino Linotype" w:hAnsi="Palatino Linotype"/>
        </w:rPr>
      </w:pPr>
      <w:r>
        <w:rPr>
          <w:rFonts w:ascii="Palatino Linotype" w:hAnsi="Palatino Linotype"/>
        </w:rPr>
        <w:t>Population and employment forecasts are derived from statistical modeling procedures that estimate patterns of urban activity resulting from change in future land value or transportation accessibility.  Change in land value or transportation accessibility, in turn, result</w:t>
      </w:r>
      <w:r w:rsidR="009E1F22">
        <w:rPr>
          <w:rFonts w:ascii="Palatino Linotype" w:hAnsi="Palatino Linotype"/>
        </w:rPr>
        <w:t>s</w:t>
      </w:r>
      <w:r>
        <w:rPr>
          <w:rFonts w:ascii="Palatino Linotype" w:hAnsi="Palatino Linotype"/>
        </w:rPr>
        <w:t xml:space="preserve"> from planning and policy interventions that define a particular scenario.  </w:t>
      </w:r>
      <w:r w:rsidR="009E1F22">
        <w:rPr>
          <w:rFonts w:ascii="Palatino Linotype" w:hAnsi="Palatino Linotype"/>
        </w:rPr>
        <w:t>Note, therefore, that all</w:t>
      </w:r>
      <w:r>
        <w:rPr>
          <w:rFonts w:ascii="Palatino Linotype" w:hAnsi="Palatino Linotype"/>
        </w:rPr>
        <w:t xml:space="preserve"> forecasts are estimated by </w:t>
      </w:r>
      <w:r w:rsidR="009E1F22">
        <w:rPr>
          <w:rFonts w:ascii="Palatino Linotype" w:hAnsi="Palatino Linotype"/>
        </w:rPr>
        <w:t xml:space="preserve">systematically </w:t>
      </w:r>
      <w:r>
        <w:rPr>
          <w:rFonts w:ascii="Palatino Linotype" w:hAnsi="Palatino Linotype"/>
        </w:rPr>
        <w:t xml:space="preserve">applying long range planning strategies under consideration.  </w:t>
      </w:r>
      <w:r w:rsidR="009E1F22">
        <w:rPr>
          <w:rFonts w:ascii="Palatino Linotype" w:hAnsi="Palatino Linotype"/>
        </w:rPr>
        <w:t>In fact, any set of forecasts is “scenario specific” and cannot be determined in the absence of clearly stated regional policies and their presumed effect on regional development patterns</w:t>
      </w:r>
      <w:r w:rsidR="00C549B4">
        <w:rPr>
          <w:rFonts w:ascii="Palatino Linotype" w:hAnsi="Palatino Linotype"/>
        </w:rPr>
        <w:t>.</w:t>
      </w:r>
      <w:r w:rsidR="00D46ED8">
        <w:rPr>
          <w:rStyle w:val="EndnoteReference"/>
          <w:rFonts w:ascii="Palatino Linotype" w:hAnsi="Palatino Linotype"/>
        </w:rPr>
        <w:endnoteReference w:id="3"/>
      </w:r>
      <w:r w:rsidR="009E1F22">
        <w:rPr>
          <w:rFonts w:ascii="Palatino Linotype" w:hAnsi="Palatino Linotype"/>
        </w:rPr>
        <w:t xml:space="preserve">  </w:t>
      </w:r>
    </w:p>
    <w:p w:rsidR="00D07F9D" w:rsidRPr="00D07F9D" w:rsidRDefault="00085664" w:rsidP="00C0050A">
      <w:pPr>
        <w:rPr>
          <w:rFonts w:ascii="Palatino Linotype" w:hAnsi="Palatino Linotype"/>
        </w:rPr>
      </w:pPr>
      <w:r>
        <w:rPr>
          <w:rFonts w:ascii="Palatino Linotype" w:hAnsi="Palatino Linotype"/>
        </w:rPr>
        <w:lastRenderedPageBreak/>
        <w:t>With regard to planning strategies that define a scenario, w</w:t>
      </w:r>
      <w:r w:rsidRPr="00D07F9D">
        <w:rPr>
          <w:rFonts w:ascii="Palatino Linotype" w:hAnsi="Palatino Linotype"/>
        </w:rPr>
        <w:t xml:space="preserve">e are subscribing to the urban economic principle that socioeconomic activity will </w:t>
      </w:r>
      <w:r>
        <w:rPr>
          <w:rFonts w:ascii="Palatino Linotype" w:hAnsi="Palatino Linotype"/>
        </w:rPr>
        <w:t>arrange</w:t>
      </w:r>
      <w:r w:rsidRPr="00D07F9D">
        <w:rPr>
          <w:rFonts w:ascii="Palatino Linotype" w:hAnsi="Palatino Linotype"/>
        </w:rPr>
        <w:t xml:space="preserve"> itself spatially in response to changes in </w:t>
      </w:r>
      <w:r>
        <w:rPr>
          <w:rFonts w:ascii="Palatino Linotype" w:hAnsi="Palatino Linotype"/>
        </w:rPr>
        <w:t>economic demand for urban commodities (primarily working and shopping opportunities)</w:t>
      </w:r>
      <w:r w:rsidRPr="00D07F9D">
        <w:rPr>
          <w:rFonts w:ascii="Palatino Linotype" w:hAnsi="Palatino Linotype"/>
        </w:rPr>
        <w:t xml:space="preserve">, transportation accessibility and </w:t>
      </w:r>
      <w:r>
        <w:rPr>
          <w:rFonts w:ascii="Palatino Linotype" w:hAnsi="Palatino Linotype"/>
        </w:rPr>
        <w:t>regulatory</w:t>
      </w:r>
      <w:r w:rsidRPr="00D07F9D">
        <w:rPr>
          <w:rFonts w:ascii="Palatino Linotype" w:hAnsi="Palatino Linotype"/>
        </w:rPr>
        <w:t xml:space="preserve"> constraint.</w:t>
      </w:r>
      <w:r>
        <w:rPr>
          <w:rFonts w:ascii="Palatino Linotype" w:hAnsi="Palatino Linotype"/>
        </w:rPr>
        <w:t xml:space="preserve">  Therefore</w:t>
      </w:r>
      <w:r w:rsidR="002519CE">
        <w:rPr>
          <w:rFonts w:ascii="Palatino Linotype" w:hAnsi="Palatino Linotype"/>
        </w:rPr>
        <w:t>,</w:t>
      </w:r>
      <w:r w:rsidR="00D07F9D" w:rsidRPr="00D07F9D">
        <w:rPr>
          <w:rFonts w:ascii="Palatino Linotype" w:hAnsi="Palatino Linotype"/>
        </w:rPr>
        <w:t xml:space="preserve"> </w:t>
      </w:r>
      <w:r w:rsidR="00D07F9D">
        <w:rPr>
          <w:rFonts w:ascii="Palatino Linotype" w:hAnsi="Palatino Linotype"/>
        </w:rPr>
        <w:t>a subzone’s population or employment</w:t>
      </w:r>
      <w:r w:rsidR="00230A6C">
        <w:rPr>
          <w:rFonts w:ascii="Palatino Linotype" w:hAnsi="Palatino Linotype"/>
        </w:rPr>
        <w:t xml:space="preserve"> level</w:t>
      </w:r>
      <w:r w:rsidR="00D07F9D" w:rsidRPr="00D07F9D">
        <w:rPr>
          <w:rFonts w:ascii="Palatino Linotype" w:hAnsi="Palatino Linotype"/>
        </w:rPr>
        <w:t xml:space="preserve"> changes in res</w:t>
      </w:r>
      <w:r w:rsidR="00054252">
        <w:rPr>
          <w:rFonts w:ascii="Palatino Linotype" w:hAnsi="Palatino Linotype"/>
        </w:rPr>
        <w:t>ponse to variation in geographic</w:t>
      </w:r>
      <w:r w:rsidR="00D07F9D" w:rsidRPr="00D07F9D">
        <w:rPr>
          <w:rFonts w:ascii="Palatino Linotype" w:hAnsi="Palatino Linotype"/>
        </w:rPr>
        <w:t xml:space="preserve"> attributes</w:t>
      </w:r>
      <w:r w:rsidR="00D07F9D">
        <w:rPr>
          <w:rFonts w:ascii="Palatino Linotype" w:hAnsi="Palatino Linotype"/>
        </w:rPr>
        <w:t xml:space="preserve"> associated with these variables</w:t>
      </w:r>
      <w:r w:rsidR="00D07F9D" w:rsidRPr="00D07F9D">
        <w:rPr>
          <w:rFonts w:ascii="Palatino Linotype" w:hAnsi="Palatino Linotype"/>
        </w:rPr>
        <w:t>:</w:t>
      </w:r>
    </w:p>
    <w:p w:rsidR="00D07F9D" w:rsidRPr="00D07F9D" w:rsidRDefault="00D07F9D" w:rsidP="00D07F9D">
      <w:pPr>
        <w:pStyle w:val="ListParagraph"/>
        <w:numPr>
          <w:ilvl w:val="0"/>
          <w:numId w:val="4"/>
        </w:numPr>
        <w:rPr>
          <w:rFonts w:ascii="Palatino Linotype" w:hAnsi="Palatino Linotype"/>
        </w:rPr>
      </w:pPr>
      <w:r w:rsidRPr="00D07F9D">
        <w:rPr>
          <w:rFonts w:ascii="Palatino Linotype" w:hAnsi="Palatino Linotype"/>
        </w:rPr>
        <w:t>Land value (</w:t>
      </w:r>
      <w:r>
        <w:rPr>
          <w:rFonts w:ascii="Palatino Linotype" w:hAnsi="Palatino Linotype"/>
        </w:rPr>
        <w:t xml:space="preserve">reflecting </w:t>
      </w:r>
      <w:r w:rsidR="00085664">
        <w:rPr>
          <w:rFonts w:ascii="Palatino Linotype" w:hAnsi="Palatino Linotype"/>
        </w:rPr>
        <w:t>land</w:t>
      </w:r>
      <w:r>
        <w:rPr>
          <w:rFonts w:ascii="Palatino Linotype" w:hAnsi="Palatino Linotype"/>
        </w:rPr>
        <w:t xml:space="preserve"> development</w:t>
      </w:r>
      <w:r w:rsidRPr="00D07F9D">
        <w:rPr>
          <w:rFonts w:ascii="Palatino Linotype" w:hAnsi="Palatino Linotype"/>
        </w:rPr>
        <w:t xml:space="preserve"> potential)</w:t>
      </w:r>
      <w:r w:rsidR="00C549B4">
        <w:rPr>
          <w:rFonts w:ascii="Palatino Linotype" w:hAnsi="Palatino Linotype"/>
        </w:rPr>
        <w:t>.</w:t>
      </w:r>
    </w:p>
    <w:p w:rsidR="00D07F9D" w:rsidRPr="00D07F9D" w:rsidRDefault="00D07F9D" w:rsidP="00D07F9D">
      <w:pPr>
        <w:pStyle w:val="ListParagraph"/>
        <w:numPr>
          <w:ilvl w:val="0"/>
          <w:numId w:val="4"/>
        </w:numPr>
        <w:rPr>
          <w:rFonts w:ascii="Palatino Linotype" w:hAnsi="Palatino Linotype"/>
        </w:rPr>
      </w:pPr>
      <w:r>
        <w:rPr>
          <w:rFonts w:ascii="Palatino Linotype" w:hAnsi="Palatino Linotype"/>
        </w:rPr>
        <w:t>Accessibility (reflecting transportation connectivity to regional markets</w:t>
      </w:r>
      <w:r w:rsidRPr="00D07F9D">
        <w:rPr>
          <w:rFonts w:ascii="Palatino Linotype" w:hAnsi="Palatino Linotype"/>
        </w:rPr>
        <w:t>)</w:t>
      </w:r>
      <w:r w:rsidR="00C549B4">
        <w:rPr>
          <w:rFonts w:ascii="Palatino Linotype" w:hAnsi="Palatino Linotype"/>
        </w:rPr>
        <w:t>.</w:t>
      </w:r>
    </w:p>
    <w:p w:rsidR="00D07F9D" w:rsidRPr="00D07F9D" w:rsidRDefault="00D07F9D" w:rsidP="00D07F9D">
      <w:pPr>
        <w:pStyle w:val="ListParagraph"/>
        <w:numPr>
          <w:ilvl w:val="0"/>
          <w:numId w:val="4"/>
        </w:numPr>
        <w:rPr>
          <w:rFonts w:ascii="Palatino Linotype" w:hAnsi="Palatino Linotype"/>
        </w:rPr>
      </w:pPr>
      <w:r>
        <w:rPr>
          <w:rFonts w:ascii="Palatino Linotype" w:hAnsi="Palatino Linotype"/>
        </w:rPr>
        <w:t xml:space="preserve">Regulatory </w:t>
      </w:r>
      <w:r w:rsidRPr="00D07F9D">
        <w:rPr>
          <w:rFonts w:ascii="Palatino Linotype" w:hAnsi="Palatino Linotype"/>
        </w:rPr>
        <w:t>constraint (</w:t>
      </w:r>
      <w:r>
        <w:rPr>
          <w:rFonts w:ascii="Palatino Linotype" w:hAnsi="Palatino Linotype"/>
        </w:rPr>
        <w:t>ref</w:t>
      </w:r>
      <w:r w:rsidR="00054252">
        <w:rPr>
          <w:rFonts w:ascii="Palatino Linotype" w:hAnsi="Palatino Linotype"/>
        </w:rPr>
        <w:t>lecting government intervention in market development</w:t>
      </w:r>
      <w:r w:rsidRPr="00D07F9D">
        <w:rPr>
          <w:rFonts w:ascii="Palatino Linotype" w:hAnsi="Palatino Linotype"/>
        </w:rPr>
        <w:t>)</w:t>
      </w:r>
      <w:r>
        <w:rPr>
          <w:rFonts w:ascii="Palatino Linotype" w:hAnsi="Palatino Linotype"/>
        </w:rPr>
        <w:t>.</w:t>
      </w:r>
    </w:p>
    <w:p w:rsidR="00920C11" w:rsidRDefault="00D07F9D" w:rsidP="00514064">
      <w:pPr>
        <w:rPr>
          <w:rFonts w:ascii="Palatino Linotype" w:hAnsi="Palatino Linotype"/>
        </w:rPr>
      </w:pPr>
      <w:r w:rsidRPr="00D07F9D">
        <w:rPr>
          <w:rFonts w:ascii="Palatino Linotype" w:hAnsi="Palatino Linotype"/>
        </w:rPr>
        <w:t>Most land use and transportation strategies are expected to have</w:t>
      </w:r>
      <w:r w:rsidR="0086021C">
        <w:rPr>
          <w:rFonts w:ascii="Palatino Linotype" w:hAnsi="Palatino Linotype"/>
        </w:rPr>
        <w:t xml:space="preserve"> compound equilibrating effects on themselves and others (i.e. for every action there is a r</w:t>
      </w:r>
      <w:r w:rsidR="002C31A4">
        <w:rPr>
          <w:rFonts w:ascii="Palatino Linotype" w:hAnsi="Palatino Linotype"/>
        </w:rPr>
        <w:t xml:space="preserve">eaction) as well as geographic </w:t>
      </w:r>
      <w:r w:rsidR="0086021C">
        <w:rPr>
          <w:rFonts w:ascii="Palatino Linotype" w:hAnsi="Palatino Linotype"/>
        </w:rPr>
        <w:t>ripple effects on locations for which there is a measurable spatial interaction</w:t>
      </w:r>
      <w:r w:rsidRPr="00D07F9D">
        <w:rPr>
          <w:rFonts w:ascii="Palatino Linotype" w:hAnsi="Palatino Linotype"/>
        </w:rPr>
        <w:t xml:space="preserve">.  </w:t>
      </w:r>
      <w:r w:rsidR="00C0050A">
        <w:rPr>
          <w:rFonts w:ascii="Palatino Linotype" w:hAnsi="Palatino Linotype"/>
        </w:rPr>
        <w:t xml:space="preserve">In </w:t>
      </w:r>
      <w:r w:rsidR="00C409A0">
        <w:rPr>
          <w:rFonts w:ascii="Palatino Linotype" w:hAnsi="Palatino Linotype"/>
        </w:rPr>
        <w:t>CMAP’s</w:t>
      </w:r>
      <w:r w:rsidR="00C0050A">
        <w:rPr>
          <w:rFonts w:ascii="Palatino Linotype" w:hAnsi="Palatino Linotype"/>
        </w:rPr>
        <w:t xml:space="preserve"> regional modeling, c</w:t>
      </w:r>
      <w:r w:rsidRPr="00D07F9D">
        <w:rPr>
          <w:rFonts w:ascii="Palatino Linotype" w:hAnsi="Palatino Linotype"/>
        </w:rPr>
        <w:t xml:space="preserve">apturing </w:t>
      </w:r>
      <w:r w:rsidR="0086021C">
        <w:rPr>
          <w:rFonts w:ascii="Palatino Linotype" w:hAnsi="Palatino Linotype"/>
        </w:rPr>
        <w:t>these effects</w:t>
      </w:r>
      <w:r w:rsidRPr="00D07F9D">
        <w:rPr>
          <w:rFonts w:ascii="Palatino Linotype" w:hAnsi="Palatino Linotype"/>
        </w:rPr>
        <w:t xml:space="preserve"> </w:t>
      </w:r>
      <w:r w:rsidR="00EC64BB">
        <w:rPr>
          <w:rFonts w:ascii="Palatino Linotype" w:hAnsi="Palatino Linotype"/>
        </w:rPr>
        <w:t>is</w:t>
      </w:r>
      <w:r w:rsidRPr="00D07F9D">
        <w:rPr>
          <w:rFonts w:ascii="Palatino Linotype" w:hAnsi="Palatino Linotype"/>
        </w:rPr>
        <w:t xml:space="preserve"> accomplished through the use</w:t>
      </w:r>
      <w:r w:rsidR="006020DA">
        <w:rPr>
          <w:rFonts w:ascii="Palatino Linotype" w:hAnsi="Palatino Linotype"/>
        </w:rPr>
        <w:t xml:space="preserve"> of</w:t>
      </w:r>
      <w:r w:rsidRPr="00D07F9D">
        <w:rPr>
          <w:rFonts w:ascii="Palatino Linotype" w:hAnsi="Palatino Linotype"/>
        </w:rPr>
        <w:t xml:space="preserve"> a </w:t>
      </w:r>
      <w:r>
        <w:rPr>
          <w:rFonts w:ascii="Palatino Linotype" w:hAnsi="Palatino Linotype"/>
        </w:rPr>
        <w:t>composite</w:t>
      </w:r>
      <w:r w:rsidRPr="00D07F9D">
        <w:rPr>
          <w:rFonts w:ascii="Palatino Linotype" w:hAnsi="Palatino Linotype"/>
        </w:rPr>
        <w:t xml:space="preserve"> variable called</w:t>
      </w:r>
      <w:r>
        <w:rPr>
          <w:rFonts w:ascii="Palatino Linotype" w:hAnsi="Palatino Linotype"/>
        </w:rPr>
        <w:t xml:space="preserve"> the</w:t>
      </w:r>
      <w:r w:rsidRPr="00D07F9D">
        <w:rPr>
          <w:rFonts w:ascii="Palatino Linotype" w:hAnsi="Palatino Linotype"/>
        </w:rPr>
        <w:t xml:space="preserve"> “access product</w:t>
      </w:r>
      <w:r w:rsidR="00C549B4">
        <w:rPr>
          <w:rFonts w:ascii="Palatino Linotype" w:hAnsi="Palatino Linotype"/>
        </w:rPr>
        <w:t>.</w:t>
      </w:r>
      <w:r w:rsidRPr="00D07F9D">
        <w:rPr>
          <w:rFonts w:ascii="Palatino Linotype" w:hAnsi="Palatino Linotype"/>
        </w:rPr>
        <w:t>”  This</w:t>
      </w:r>
      <w:r w:rsidR="00C409A0">
        <w:rPr>
          <w:rFonts w:ascii="Palatino Linotype" w:hAnsi="Palatino Linotype"/>
        </w:rPr>
        <w:t xml:space="preserve"> value</w:t>
      </w:r>
      <w:r w:rsidRPr="00D07F9D">
        <w:rPr>
          <w:rFonts w:ascii="Palatino Linotype" w:hAnsi="Palatino Linotype"/>
        </w:rPr>
        <w:t xml:space="preserve"> is </w:t>
      </w:r>
      <w:r w:rsidR="00C409A0">
        <w:rPr>
          <w:rFonts w:ascii="Palatino Linotype" w:hAnsi="Palatino Linotype"/>
        </w:rPr>
        <w:t>calculated as</w:t>
      </w:r>
      <w:r w:rsidRPr="00D07F9D">
        <w:rPr>
          <w:rFonts w:ascii="Palatino Linotype" w:hAnsi="Palatino Linotype"/>
        </w:rPr>
        <w:t xml:space="preserve"> the product of a</w:t>
      </w:r>
      <w:r w:rsidR="00230A6C">
        <w:rPr>
          <w:rFonts w:ascii="Palatino Linotype" w:hAnsi="Palatino Linotype"/>
        </w:rPr>
        <w:t xml:space="preserve"> sub</w:t>
      </w:r>
      <w:r w:rsidRPr="00D07F9D">
        <w:rPr>
          <w:rFonts w:ascii="Palatino Linotype" w:hAnsi="Palatino Linotype"/>
        </w:rPr>
        <w:t>zone’s</w:t>
      </w:r>
      <w:r w:rsidR="009A158C">
        <w:rPr>
          <w:rFonts w:ascii="Palatino Linotype" w:hAnsi="Palatino Linotype"/>
        </w:rPr>
        <w:t xml:space="preserve"> normalized</w:t>
      </w:r>
      <w:r w:rsidRPr="00D07F9D">
        <w:rPr>
          <w:rFonts w:ascii="Palatino Linotype" w:hAnsi="Palatino Linotype"/>
        </w:rPr>
        <w:t xml:space="preserve"> </w:t>
      </w:r>
      <w:r w:rsidR="002519CE">
        <w:rPr>
          <w:rFonts w:ascii="Palatino Linotype" w:hAnsi="Palatino Linotype"/>
        </w:rPr>
        <w:t>mean</w:t>
      </w:r>
      <w:r w:rsidR="006020DA">
        <w:rPr>
          <w:rFonts w:ascii="Palatino Linotype" w:hAnsi="Palatino Linotype"/>
        </w:rPr>
        <w:t xml:space="preserve"> </w:t>
      </w:r>
      <w:r w:rsidRPr="00D07F9D">
        <w:rPr>
          <w:rFonts w:ascii="Palatino Linotype" w:hAnsi="Palatino Linotype"/>
        </w:rPr>
        <w:t xml:space="preserve">land value </w:t>
      </w:r>
      <w:r>
        <w:rPr>
          <w:rFonts w:ascii="Palatino Linotype" w:hAnsi="Palatino Linotype"/>
        </w:rPr>
        <w:t>and</w:t>
      </w:r>
      <w:r w:rsidRPr="00D07F9D">
        <w:rPr>
          <w:rFonts w:ascii="Palatino Linotype" w:hAnsi="Palatino Linotype"/>
        </w:rPr>
        <w:t xml:space="preserve"> the </w:t>
      </w:r>
      <w:r w:rsidR="006020DA">
        <w:rPr>
          <w:rFonts w:ascii="Palatino Linotype" w:hAnsi="Palatino Linotype"/>
        </w:rPr>
        <w:t xml:space="preserve">generalized </w:t>
      </w:r>
      <w:r w:rsidR="00A97AF8">
        <w:rPr>
          <w:rFonts w:ascii="Palatino Linotype" w:hAnsi="Palatino Linotype"/>
        </w:rPr>
        <w:t xml:space="preserve">cost of traveling </w:t>
      </w:r>
      <w:r w:rsidRPr="00D07F9D">
        <w:rPr>
          <w:rFonts w:ascii="Palatino Linotype" w:hAnsi="Palatino Linotype"/>
        </w:rPr>
        <w:t xml:space="preserve">to all other locations in the region.  Applied consistently, the result is a measure of </w:t>
      </w:r>
      <w:r w:rsidR="001B5A4A">
        <w:rPr>
          <w:rFonts w:ascii="Palatino Linotype" w:hAnsi="Palatino Linotype"/>
        </w:rPr>
        <w:t xml:space="preserve">transportation </w:t>
      </w:r>
      <w:r w:rsidRPr="00D07F9D">
        <w:rPr>
          <w:rFonts w:ascii="Palatino Linotype" w:hAnsi="Palatino Linotype"/>
        </w:rPr>
        <w:t xml:space="preserve">accessibility weighted by a </w:t>
      </w:r>
      <w:r w:rsidR="00402BC9">
        <w:rPr>
          <w:rFonts w:ascii="Palatino Linotype" w:hAnsi="Palatino Linotype"/>
        </w:rPr>
        <w:t xml:space="preserve">consistent </w:t>
      </w:r>
      <w:r w:rsidR="006020DA">
        <w:rPr>
          <w:rFonts w:ascii="Palatino Linotype" w:hAnsi="Palatino Linotype"/>
        </w:rPr>
        <w:t xml:space="preserve">value </w:t>
      </w:r>
      <w:r w:rsidR="00230A6C">
        <w:rPr>
          <w:rFonts w:ascii="Palatino Linotype" w:hAnsi="Palatino Linotype"/>
        </w:rPr>
        <w:t>representing a</w:t>
      </w:r>
      <w:r w:rsidRPr="00D07F9D">
        <w:rPr>
          <w:rFonts w:ascii="Palatino Linotype" w:hAnsi="Palatino Linotype"/>
        </w:rPr>
        <w:t xml:space="preserve"> specific </w:t>
      </w:r>
      <w:r w:rsidR="00230A6C">
        <w:rPr>
          <w:rFonts w:ascii="Palatino Linotype" w:hAnsi="Palatino Linotype"/>
        </w:rPr>
        <w:t>sub</w:t>
      </w:r>
      <w:r w:rsidRPr="00D07F9D">
        <w:rPr>
          <w:rFonts w:ascii="Palatino Linotype" w:hAnsi="Palatino Linotype"/>
        </w:rPr>
        <w:t xml:space="preserve">zone’s attractiveness to </w:t>
      </w:r>
      <w:r w:rsidR="006020DA">
        <w:rPr>
          <w:rFonts w:ascii="Palatino Linotype" w:hAnsi="Palatino Linotype"/>
        </w:rPr>
        <w:t xml:space="preserve">subsequent </w:t>
      </w:r>
      <w:r w:rsidRPr="00D07F9D">
        <w:rPr>
          <w:rFonts w:ascii="Palatino Linotype" w:hAnsi="Palatino Linotype"/>
        </w:rPr>
        <w:t>urban development.</w:t>
      </w:r>
      <w:r w:rsidR="006020DA">
        <w:rPr>
          <w:rFonts w:ascii="Palatino Linotype" w:hAnsi="Palatino Linotype"/>
        </w:rPr>
        <w:t xml:space="preserve">   </w:t>
      </w:r>
    </w:p>
    <w:p w:rsidR="00920C11" w:rsidRDefault="00402BC9" w:rsidP="00920C11">
      <w:pPr>
        <w:rPr>
          <w:rFonts w:ascii="Palatino Linotype" w:hAnsi="Palatino Linotype"/>
        </w:rPr>
      </w:pPr>
      <w:r>
        <w:rPr>
          <w:rFonts w:ascii="Palatino Linotype" w:hAnsi="Palatino Linotype"/>
        </w:rPr>
        <w:t>U</w:t>
      </w:r>
      <w:r w:rsidR="00920C11">
        <w:rPr>
          <w:rFonts w:ascii="Palatino Linotype" w:hAnsi="Palatino Linotype"/>
        </w:rPr>
        <w:t>rban activity is</w:t>
      </w:r>
      <w:r>
        <w:rPr>
          <w:rFonts w:ascii="Palatino Linotype" w:hAnsi="Palatino Linotype"/>
        </w:rPr>
        <w:t xml:space="preserve"> </w:t>
      </w:r>
      <w:r w:rsidR="00920C11">
        <w:rPr>
          <w:rFonts w:ascii="Palatino Linotype" w:hAnsi="Palatino Linotype"/>
        </w:rPr>
        <w:t>represented by two</w:t>
      </w:r>
      <w:r>
        <w:rPr>
          <w:rFonts w:ascii="Palatino Linotype" w:hAnsi="Palatino Linotype"/>
        </w:rPr>
        <w:t xml:space="preserve"> major</w:t>
      </w:r>
      <w:r w:rsidR="00920C11">
        <w:rPr>
          <w:rFonts w:ascii="Palatino Linotype" w:hAnsi="Palatino Linotype"/>
        </w:rPr>
        <w:t xml:space="preserve"> classes</w:t>
      </w:r>
      <w:r>
        <w:rPr>
          <w:rFonts w:ascii="Palatino Linotype" w:hAnsi="Palatino Linotype"/>
        </w:rPr>
        <w:t xml:space="preserve"> of land use</w:t>
      </w:r>
      <w:r w:rsidR="00920C11">
        <w:rPr>
          <w:rFonts w:ascii="Palatino Linotype" w:hAnsi="Palatino Linotype"/>
        </w:rPr>
        <w:t xml:space="preserve">: residential and nonresidential.  </w:t>
      </w:r>
      <w:r>
        <w:rPr>
          <w:rFonts w:ascii="Palatino Linotype" w:hAnsi="Palatino Linotype"/>
        </w:rPr>
        <w:t>T</w:t>
      </w:r>
      <w:r w:rsidR="00920C11">
        <w:rPr>
          <w:rFonts w:ascii="Palatino Linotype" w:hAnsi="Palatino Linotype"/>
        </w:rPr>
        <w:t>he proportion of residential to nonresidential activity with</w:t>
      </w:r>
      <w:r>
        <w:rPr>
          <w:rFonts w:ascii="Palatino Linotype" w:hAnsi="Palatino Linotype"/>
        </w:rPr>
        <w:t>in a single subzone is quantified using population and employment variables</w:t>
      </w:r>
      <w:r w:rsidR="00920C11">
        <w:rPr>
          <w:rFonts w:ascii="Palatino Linotype" w:hAnsi="Palatino Linotype"/>
        </w:rPr>
        <w:t>.</w:t>
      </w:r>
      <w:r w:rsidR="00C64D55">
        <w:rPr>
          <w:rFonts w:ascii="Palatino Linotype" w:hAnsi="Palatino Linotype"/>
        </w:rPr>
        <w:t xml:space="preserve">  As such, a single measure of urban activity: the sum of households and jobs in a subzone,</w:t>
      </w:r>
      <w:r>
        <w:rPr>
          <w:rFonts w:ascii="Palatino Linotype" w:hAnsi="Palatino Linotype"/>
        </w:rPr>
        <w:t xml:space="preserve"> </w:t>
      </w:r>
      <w:r w:rsidR="00C64D55">
        <w:rPr>
          <w:rFonts w:ascii="Palatino Linotype" w:hAnsi="Palatino Linotype"/>
        </w:rPr>
        <w:t>is the primary forecasting variable.</w:t>
      </w:r>
    </w:p>
    <w:p w:rsidR="00C64D55" w:rsidRDefault="00C64D55" w:rsidP="00C64D55">
      <w:pPr>
        <w:rPr>
          <w:rFonts w:ascii="Palatino Linotype" w:hAnsi="Palatino Linotype"/>
        </w:rPr>
      </w:pPr>
      <w:r>
        <w:rPr>
          <w:rFonts w:ascii="Palatino Linotype" w:hAnsi="Palatino Linotype"/>
        </w:rPr>
        <w:t>To begin the forecasting exercise, a linear extrapolation was made from 2010 to 2040 through the forecasts adopted</w:t>
      </w:r>
      <w:r w:rsidR="0086021C">
        <w:rPr>
          <w:rFonts w:ascii="Palatino Linotype" w:hAnsi="Palatino Linotype"/>
        </w:rPr>
        <w:t xml:space="preserve"> in 2006</w:t>
      </w:r>
      <w:r>
        <w:rPr>
          <w:rFonts w:ascii="Palatino Linotype" w:hAnsi="Palatino Linotype"/>
        </w:rPr>
        <w:t xml:space="preserve"> as part of the </w:t>
      </w:r>
      <w:r w:rsidR="0086021C">
        <w:rPr>
          <w:rFonts w:ascii="Palatino Linotype" w:hAnsi="Palatino Linotype"/>
        </w:rPr>
        <w:t>2030 Regional Transportation Plan update</w:t>
      </w:r>
      <w:r>
        <w:rPr>
          <w:rFonts w:ascii="Palatino Linotype" w:hAnsi="Palatino Linotype"/>
        </w:rPr>
        <w:t>.  These provide the starting point for a sequence of contextual evaluations that either dampen or enhance a subzone’s potential for future growth in urban activity.</w:t>
      </w:r>
    </w:p>
    <w:p w:rsidR="00C64D55" w:rsidRDefault="00C64D55" w:rsidP="00C64D55">
      <w:pPr>
        <w:rPr>
          <w:rFonts w:ascii="Palatino Linotype" w:hAnsi="Palatino Linotype"/>
        </w:rPr>
      </w:pPr>
      <w:r>
        <w:rPr>
          <w:rFonts w:ascii="Palatino Linotype" w:hAnsi="Palatino Linotype"/>
        </w:rPr>
        <w:t xml:space="preserve">A </w:t>
      </w:r>
      <w:r w:rsidR="00D321DE">
        <w:rPr>
          <w:rFonts w:ascii="Palatino Linotype" w:hAnsi="Palatino Linotype"/>
        </w:rPr>
        <w:t>four</w:t>
      </w:r>
      <w:r>
        <w:rPr>
          <w:rFonts w:ascii="Palatino Linotype" w:hAnsi="Palatino Linotype"/>
        </w:rPr>
        <w:t xml:space="preserve">-step procedure for incorporating the effects of selected regional planning policy was applied to render a scenario forecast.  </w:t>
      </w:r>
    </w:p>
    <w:p w:rsidR="00217BC3" w:rsidRPr="00217BC3" w:rsidRDefault="0086021C" w:rsidP="00230A6C">
      <w:pPr>
        <w:pStyle w:val="ListParagraph"/>
        <w:numPr>
          <w:ilvl w:val="0"/>
          <w:numId w:val="6"/>
        </w:numPr>
        <w:rPr>
          <w:rFonts w:ascii="Palatino Linotype" w:hAnsi="Palatino Linotype"/>
        </w:rPr>
      </w:pPr>
      <w:r w:rsidRPr="00217BC3">
        <w:rPr>
          <w:rFonts w:ascii="Palatino Linotype" w:hAnsi="Palatino Linotype"/>
          <w:b/>
        </w:rPr>
        <w:t>Step 1</w:t>
      </w:r>
      <w:r w:rsidRPr="00217BC3">
        <w:rPr>
          <w:rFonts w:ascii="Palatino Linotype" w:hAnsi="Palatino Linotype"/>
        </w:rPr>
        <w:t xml:space="preserve">:  Initial </w:t>
      </w:r>
      <w:r w:rsidR="00230A6C" w:rsidRPr="00217BC3">
        <w:rPr>
          <w:rFonts w:ascii="Palatino Linotype" w:hAnsi="Palatino Linotype"/>
        </w:rPr>
        <w:t>extrapolated</w:t>
      </w:r>
      <w:r w:rsidRPr="00217BC3">
        <w:rPr>
          <w:rFonts w:ascii="Palatino Linotype" w:hAnsi="Palatino Linotype"/>
        </w:rPr>
        <w:t xml:space="preserve"> </w:t>
      </w:r>
      <w:r w:rsidR="00230A6C" w:rsidRPr="00217BC3">
        <w:rPr>
          <w:rFonts w:ascii="Palatino Linotype" w:hAnsi="Palatino Linotype"/>
        </w:rPr>
        <w:t>values were applied to a</w:t>
      </w:r>
      <w:r w:rsidRPr="00217BC3">
        <w:rPr>
          <w:rFonts w:ascii="Palatino Linotype" w:hAnsi="Palatino Linotype"/>
        </w:rPr>
        <w:t xml:space="preserve"> baseline</w:t>
      </w:r>
      <w:r w:rsidR="00402BC9" w:rsidRPr="00217BC3">
        <w:rPr>
          <w:rFonts w:ascii="Palatino Linotype" w:hAnsi="Palatino Linotype"/>
        </w:rPr>
        <w:t xml:space="preserve"> (i.e. no-build)</w:t>
      </w:r>
      <w:r w:rsidRPr="00217BC3">
        <w:rPr>
          <w:rFonts w:ascii="Palatino Linotype" w:hAnsi="Palatino Linotype"/>
        </w:rPr>
        <w:t xml:space="preserve"> transportation network to establish 2040 transportation system performance measures (e.g. highway congestion, transit level of service).  </w:t>
      </w:r>
      <w:r w:rsidR="00FA47D5" w:rsidRPr="00217BC3">
        <w:rPr>
          <w:rFonts w:ascii="Palatino Linotype" w:hAnsi="Palatino Linotype"/>
        </w:rPr>
        <w:t xml:space="preserve">This modeled application of the “access product” is </w:t>
      </w:r>
      <w:r w:rsidRPr="00217BC3">
        <w:rPr>
          <w:rFonts w:ascii="Palatino Linotype" w:hAnsi="Palatino Linotype"/>
        </w:rPr>
        <w:t xml:space="preserve">used to equilibrate </w:t>
      </w:r>
      <w:r w:rsidR="00AD7528" w:rsidRPr="00217BC3">
        <w:rPr>
          <w:rFonts w:ascii="Palatino Linotype" w:hAnsi="Palatino Linotype"/>
        </w:rPr>
        <w:t xml:space="preserve">existing </w:t>
      </w:r>
      <w:r w:rsidRPr="00217BC3">
        <w:rPr>
          <w:rFonts w:ascii="Palatino Linotype" w:hAnsi="Palatino Linotype"/>
        </w:rPr>
        <w:t>development</w:t>
      </w:r>
      <w:r w:rsidR="00AD7528" w:rsidRPr="00217BC3">
        <w:rPr>
          <w:rFonts w:ascii="Palatino Linotype" w:hAnsi="Palatino Linotype"/>
        </w:rPr>
        <w:t xml:space="preserve"> projections</w:t>
      </w:r>
      <w:r w:rsidRPr="00217BC3">
        <w:rPr>
          <w:rFonts w:ascii="Palatino Linotype" w:hAnsi="Palatino Linotype"/>
        </w:rPr>
        <w:t xml:space="preserve"> </w:t>
      </w:r>
      <w:r w:rsidR="00AD7528" w:rsidRPr="00217BC3">
        <w:rPr>
          <w:rFonts w:ascii="Palatino Linotype" w:hAnsi="Palatino Linotype"/>
        </w:rPr>
        <w:t>with a nominal</w:t>
      </w:r>
      <w:r w:rsidRPr="00217BC3">
        <w:rPr>
          <w:rFonts w:ascii="Palatino Linotype" w:hAnsi="Palatino Linotype"/>
        </w:rPr>
        <w:t xml:space="preserve"> </w:t>
      </w:r>
      <w:r w:rsidR="00AD7528" w:rsidRPr="00217BC3">
        <w:rPr>
          <w:rFonts w:ascii="Palatino Linotype" w:hAnsi="Palatino Linotype"/>
        </w:rPr>
        <w:t xml:space="preserve">capacity for additional growth </w:t>
      </w:r>
      <w:r w:rsidR="00AD7528" w:rsidRPr="00217BC3">
        <w:rPr>
          <w:rFonts w:ascii="Palatino Linotype" w:hAnsi="Palatino Linotype"/>
        </w:rPr>
        <w:lastRenderedPageBreak/>
        <w:t xml:space="preserve">defined by existing transportation accessibility. </w:t>
      </w:r>
      <w:r w:rsidRPr="00217BC3">
        <w:rPr>
          <w:rFonts w:ascii="Palatino Linotype" w:hAnsi="Palatino Linotype"/>
        </w:rPr>
        <w:t xml:space="preserve"> </w:t>
      </w:r>
      <w:r w:rsidR="00FA47D5" w:rsidRPr="00217BC3">
        <w:rPr>
          <w:rFonts w:ascii="Palatino Linotype" w:hAnsi="Palatino Linotype"/>
        </w:rPr>
        <w:t xml:space="preserve">The </w:t>
      </w:r>
      <w:r w:rsidR="00230A6C" w:rsidRPr="00217BC3">
        <w:rPr>
          <w:rFonts w:ascii="Palatino Linotype" w:hAnsi="Palatino Linotype"/>
        </w:rPr>
        <w:t>premise</w:t>
      </w:r>
      <w:r w:rsidR="00FA47D5" w:rsidRPr="00217BC3">
        <w:rPr>
          <w:rFonts w:ascii="Palatino Linotype" w:hAnsi="Palatino Linotype"/>
        </w:rPr>
        <w:t xml:space="preserve"> is that </w:t>
      </w:r>
      <w:r w:rsidR="00AD7528" w:rsidRPr="00217BC3">
        <w:rPr>
          <w:rFonts w:ascii="Palatino Linotype" w:hAnsi="Palatino Linotype"/>
        </w:rPr>
        <w:t>continued</w:t>
      </w:r>
      <w:r w:rsidR="00FA47D5" w:rsidRPr="00217BC3">
        <w:rPr>
          <w:rFonts w:ascii="Palatino Linotype" w:hAnsi="Palatino Linotype"/>
        </w:rPr>
        <w:t xml:space="preserve"> growth in highly congested areas with no transit accessibility will be dampened.</w:t>
      </w:r>
      <w:r w:rsidRPr="00217BC3">
        <w:rPr>
          <w:rFonts w:ascii="Palatino Linotype" w:hAnsi="Palatino Linotype"/>
        </w:rPr>
        <w:t xml:space="preserve"> </w:t>
      </w:r>
      <w:r w:rsidR="00041ADD" w:rsidRPr="00217BC3">
        <w:rPr>
          <w:rFonts w:ascii="Palatino Linotype" w:hAnsi="Palatino Linotype"/>
        </w:rPr>
        <w:t xml:space="preserve"> The result of this step is called the “reference scenario”.  A tabular summary</w:t>
      </w:r>
      <w:r w:rsidR="00A97AF8" w:rsidRPr="00217BC3">
        <w:rPr>
          <w:rFonts w:ascii="Palatino Linotype" w:hAnsi="Palatino Linotype"/>
        </w:rPr>
        <w:t xml:space="preserve"> of the transportation conditions resulting from this step</w:t>
      </w:r>
      <w:r w:rsidR="00041ADD" w:rsidRPr="00217BC3">
        <w:rPr>
          <w:rFonts w:ascii="Palatino Linotype" w:hAnsi="Palatino Linotype"/>
        </w:rPr>
        <w:t xml:space="preserve"> is found in</w:t>
      </w:r>
      <w:r w:rsidR="00EA71E3">
        <w:rPr>
          <w:rFonts w:ascii="Palatino Linotype" w:hAnsi="Palatino Linotype"/>
        </w:rPr>
        <w:t xml:space="preserve"> </w:t>
      </w:r>
      <w:r w:rsidR="00B96D7E">
        <w:fldChar w:fldCharType="begin"/>
      </w:r>
      <w:r w:rsidR="00B96D7E">
        <w:instrText xml:space="preserve"> REF _Ref262640314 \h  \* MERGEFORMAT </w:instrText>
      </w:r>
      <w:r w:rsidR="00B96D7E">
        <w:fldChar w:fldCharType="separate"/>
      </w:r>
      <w:r w:rsidR="009B0830" w:rsidRPr="009B0830">
        <w:rPr>
          <w:rFonts w:ascii="Palatino Linotype" w:hAnsi="Palatino Linotype"/>
          <w:b/>
        </w:rPr>
        <w:t>Appendix A: 2040 modeled regional conditions</w:t>
      </w:r>
      <w:r w:rsidR="00B96D7E">
        <w:fldChar w:fldCharType="end"/>
      </w:r>
      <w:r w:rsidR="00EA71E3">
        <w:rPr>
          <w:rFonts w:ascii="Palatino Linotype" w:hAnsi="Palatino Linotype"/>
        </w:rPr>
        <w:t>.</w:t>
      </w:r>
    </w:p>
    <w:p w:rsidR="00BC6E27" w:rsidRPr="00217BC3" w:rsidRDefault="00FA47D5" w:rsidP="00156E5D">
      <w:pPr>
        <w:pStyle w:val="ListParagraph"/>
        <w:numPr>
          <w:ilvl w:val="0"/>
          <w:numId w:val="6"/>
        </w:numPr>
        <w:rPr>
          <w:rFonts w:ascii="Palatino Linotype" w:hAnsi="Palatino Linotype"/>
        </w:rPr>
      </w:pPr>
      <w:r w:rsidRPr="00217BC3">
        <w:rPr>
          <w:rFonts w:ascii="Palatino Linotype" w:hAnsi="Palatino Linotype"/>
          <w:b/>
        </w:rPr>
        <w:t>Step 2</w:t>
      </w:r>
      <w:r w:rsidR="00C64D55" w:rsidRPr="00156E5D">
        <w:rPr>
          <w:rFonts w:ascii="Palatino Linotype" w:hAnsi="Palatino Linotype"/>
          <w:b/>
        </w:rPr>
        <w:t>:</w:t>
      </w:r>
      <w:r w:rsidR="00C549B4">
        <w:rPr>
          <w:rFonts w:ascii="Palatino Linotype" w:hAnsi="Palatino Linotype"/>
          <w:b/>
        </w:rPr>
        <w:t xml:space="preserve"> </w:t>
      </w:r>
      <w:r w:rsidR="00C64D55" w:rsidRPr="00156E5D">
        <w:rPr>
          <w:rFonts w:ascii="Palatino Linotype" w:hAnsi="Palatino Linotype"/>
          <w:b/>
        </w:rPr>
        <w:t xml:space="preserve"> </w:t>
      </w:r>
      <w:r w:rsidR="00DA7E75" w:rsidRPr="00156E5D">
        <w:rPr>
          <w:rFonts w:ascii="Palatino Linotype" w:hAnsi="Palatino Linotype"/>
        </w:rPr>
        <w:t>L</w:t>
      </w:r>
      <w:r w:rsidRPr="00156E5D">
        <w:rPr>
          <w:rFonts w:ascii="Palatino Linotype" w:hAnsi="Palatino Linotype"/>
        </w:rPr>
        <w:t>and use and transportation s</w:t>
      </w:r>
      <w:r w:rsidR="00C64D55" w:rsidRPr="00156E5D">
        <w:rPr>
          <w:rFonts w:ascii="Palatino Linotype" w:hAnsi="Palatino Linotype"/>
        </w:rPr>
        <w:t xml:space="preserve">trategy effects are specified mathematically as </w:t>
      </w:r>
      <w:r w:rsidR="00723E16" w:rsidRPr="00156E5D">
        <w:rPr>
          <w:rFonts w:ascii="Palatino Linotype" w:hAnsi="Palatino Linotype"/>
        </w:rPr>
        <w:t>sensitivity</w:t>
      </w:r>
      <w:r w:rsidR="00BC6E27" w:rsidRPr="00156E5D">
        <w:rPr>
          <w:rFonts w:ascii="Palatino Linotype" w:hAnsi="Palatino Linotype"/>
        </w:rPr>
        <w:t xml:space="preserve"> equations</w:t>
      </w:r>
      <w:r w:rsidR="00C64D55" w:rsidRPr="00156E5D">
        <w:rPr>
          <w:rFonts w:ascii="Palatino Linotype" w:hAnsi="Palatino Linotype"/>
        </w:rPr>
        <w:t xml:space="preserve"> that cause a sub</w:t>
      </w:r>
      <w:r w:rsidR="00BC6E27" w:rsidRPr="00156E5D">
        <w:rPr>
          <w:rFonts w:ascii="Palatino Linotype" w:hAnsi="Palatino Linotype"/>
        </w:rPr>
        <w:t xml:space="preserve">zone’s </w:t>
      </w:r>
      <w:r w:rsidR="00723E16" w:rsidRPr="00156E5D">
        <w:rPr>
          <w:rFonts w:ascii="Palatino Linotype" w:hAnsi="Palatino Linotype"/>
        </w:rPr>
        <w:t>access product</w:t>
      </w:r>
      <w:r w:rsidR="00BC6E27" w:rsidRPr="00156E5D">
        <w:rPr>
          <w:rFonts w:ascii="Palatino Linotype" w:hAnsi="Palatino Linotype"/>
        </w:rPr>
        <w:t xml:space="preserve"> to change.  Examples include redevelop</w:t>
      </w:r>
      <w:r w:rsidRPr="00156E5D">
        <w:rPr>
          <w:rFonts w:ascii="Palatino Linotype" w:hAnsi="Palatino Linotype"/>
        </w:rPr>
        <w:t>ing</w:t>
      </w:r>
      <w:r w:rsidR="00DA7E75" w:rsidRPr="00156E5D">
        <w:rPr>
          <w:rFonts w:ascii="Palatino Linotype" w:hAnsi="Palatino Linotype"/>
        </w:rPr>
        <w:t xml:space="preserve"> brownfields, improving transit frequencies or protecting open space</w:t>
      </w:r>
      <w:r w:rsidRPr="00156E5D">
        <w:rPr>
          <w:rFonts w:ascii="Palatino Linotype" w:hAnsi="Palatino Linotype"/>
        </w:rPr>
        <w:t>.  These strategies</w:t>
      </w:r>
      <w:r w:rsidR="00566925" w:rsidRPr="00156E5D">
        <w:rPr>
          <w:rFonts w:ascii="Palatino Linotype" w:hAnsi="Palatino Linotype"/>
        </w:rPr>
        <w:t xml:space="preserve">, combined to define a scenario, </w:t>
      </w:r>
      <w:r w:rsidR="00BC6E27" w:rsidRPr="00156E5D">
        <w:rPr>
          <w:rFonts w:ascii="Palatino Linotype" w:hAnsi="Palatino Linotype"/>
        </w:rPr>
        <w:t>are expected to change a subzone’s prevailing land value</w:t>
      </w:r>
      <w:r w:rsidR="00723E16" w:rsidRPr="00156E5D">
        <w:rPr>
          <w:rFonts w:ascii="Palatino Linotype" w:hAnsi="Palatino Linotype"/>
        </w:rPr>
        <w:t xml:space="preserve"> or travel accessibility</w:t>
      </w:r>
      <w:r w:rsidRPr="00156E5D">
        <w:rPr>
          <w:rFonts w:ascii="Palatino Linotype" w:hAnsi="Palatino Linotype"/>
        </w:rPr>
        <w:t xml:space="preserve"> and thus attract</w:t>
      </w:r>
      <w:r w:rsidR="00DA7E75" w:rsidRPr="00156E5D">
        <w:rPr>
          <w:rFonts w:ascii="Palatino Linotype" w:hAnsi="Palatino Linotype"/>
        </w:rPr>
        <w:t xml:space="preserve"> or impede</w:t>
      </w:r>
      <w:r w:rsidRPr="00156E5D">
        <w:rPr>
          <w:rFonts w:ascii="Palatino Linotype" w:hAnsi="Palatino Linotype"/>
        </w:rPr>
        <w:t xml:space="preserve"> increased development</w:t>
      </w:r>
      <w:r w:rsidR="00BC6E27" w:rsidRPr="00156E5D">
        <w:rPr>
          <w:rFonts w:ascii="Palatino Linotype" w:hAnsi="Palatino Linotype"/>
        </w:rPr>
        <w:t xml:space="preserve">.  </w:t>
      </w:r>
      <w:r w:rsidR="00723E16" w:rsidRPr="00156E5D">
        <w:rPr>
          <w:rFonts w:ascii="Palatino Linotype" w:hAnsi="Palatino Linotype"/>
        </w:rPr>
        <w:t xml:space="preserve">In the current application, the sensitivities themselves are assumptions based on relevant </w:t>
      </w:r>
      <w:hyperlink r:id="rId20" w:history="1">
        <w:r w:rsidR="00723E16" w:rsidRPr="00851E57">
          <w:rPr>
            <w:rFonts w:ascii="Palatino Linotype" w:hAnsi="Palatino Linotype"/>
          </w:rPr>
          <w:t>planning strategy</w:t>
        </w:r>
      </w:hyperlink>
      <w:r w:rsidR="00723E16" w:rsidRPr="00156E5D">
        <w:rPr>
          <w:rFonts w:ascii="Palatino Linotype" w:hAnsi="Palatino Linotype"/>
        </w:rPr>
        <w:t xml:space="preserve"> research.</w:t>
      </w:r>
      <w:r w:rsidR="00566925" w:rsidRPr="00156E5D">
        <w:rPr>
          <w:rFonts w:ascii="Palatino Linotype" w:hAnsi="Palatino Linotype"/>
        </w:rPr>
        <w:t xml:space="preserve">  </w:t>
      </w:r>
      <w:r w:rsidR="00162215" w:rsidRPr="00156E5D">
        <w:rPr>
          <w:rFonts w:ascii="Palatino Linotype" w:hAnsi="Palatino Linotype"/>
        </w:rPr>
        <w:t>An example of how land value and transportation sensitivities were operationalized in scenario development is</w:t>
      </w:r>
      <w:r w:rsidR="00566925" w:rsidRPr="00156E5D">
        <w:rPr>
          <w:rFonts w:ascii="Palatino Linotype" w:hAnsi="Palatino Linotype"/>
        </w:rPr>
        <w:t xml:space="preserve"> shown in</w:t>
      </w:r>
      <w:r w:rsidR="00EA71E3" w:rsidRPr="005A443E">
        <w:rPr>
          <w:rFonts w:ascii="Palatino Linotype" w:hAnsi="Palatino Linotype"/>
          <w:b/>
        </w:rPr>
        <w:t xml:space="preserve"> </w:t>
      </w:r>
      <w:r w:rsidR="00B96D7E">
        <w:fldChar w:fldCharType="begin"/>
      </w:r>
      <w:r w:rsidR="00B96D7E">
        <w:instrText xml:space="preserve"> REF _Ref262640403 \h  \* MERGEFORMAT </w:instrText>
      </w:r>
      <w:r w:rsidR="00B96D7E">
        <w:fldChar w:fldCharType="separate"/>
      </w:r>
      <w:r w:rsidR="009B0830" w:rsidRPr="009B0830">
        <w:rPr>
          <w:rFonts w:ascii="Palatino Linotype" w:hAnsi="Palatino Linotype"/>
          <w:b/>
        </w:rPr>
        <w:t>Appendix B: Brownfield strategy modeling example</w:t>
      </w:r>
      <w:r w:rsidR="00B96D7E">
        <w:fldChar w:fldCharType="end"/>
      </w:r>
      <w:r w:rsidR="00EA71E3">
        <w:rPr>
          <w:rFonts w:ascii="Palatino Linotype" w:hAnsi="Palatino Linotype"/>
          <w:b/>
        </w:rPr>
        <w:t>.</w:t>
      </w:r>
    </w:p>
    <w:p w:rsidR="00C64D55" w:rsidRDefault="00FA47D5" w:rsidP="00156E5D">
      <w:pPr>
        <w:pStyle w:val="ListParagraph"/>
        <w:numPr>
          <w:ilvl w:val="0"/>
          <w:numId w:val="6"/>
        </w:numPr>
        <w:rPr>
          <w:rFonts w:ascii="Palatino Linotype" w:hAnsi="Palatino Linotype"/>
        </w:rPr>
      </w:pPr>
      <w:r w:rsidRPr="00D321DE">
        <w:rPr>
          <w:rFonts w:ascii="Palatino Linotype" w:hAnsi="Palatino Linotype"/>
          <w:b/>
        </w:rPr>
        <w:t>Step 3</w:t>
      </w:r>
      <w:r w:rsidRPr="00230A6C">
        <w:rPr>
          <w:rFonts w:ascii="Palatino Linotype" w:hAnsi="Palatino Linotype"/>
        </w:rPr>
        <w:t xml:space="preserve">: </w:t>
      </w:r>
      <w:r w:rsidR="00C549B4">
        <w:rPr>
          <w:rFonts w:ascii="Palatino Linotype" w:hAnsi="Palatino Linotype"/>
        </w:rPr>
        <w:t xml:space="preserve"> </w:t>
      </w:r>
      <w:r w:rsidRPr="00230A6C">
        <w:rPr>
          <w:rFonts w:ascii="Palatino Linotype" w:hAnsi="Palatino Linotype"/>
        </w:rPr>
        <w:t>The updated</w:t>
      </w:r>
      <w:r w:rsidR="00BC6E27" w:rsidRPr="00230A6C">
        <w:rPr>
          <w:rFonts w:ascii="Palatino Linotype" w:hAnsi="Palatino Linotype"/>
        </w:rPr>
        <w:t xml:space="preserve"> “land value index”</w:t>
      </w:r>
      <w:r w:rsidRPr="00230A6C">
        <w:rPr>
          <w:rFonts w:ascii="Palatino Linotype" w:hAnsi="Palatino Linotype"/>
        </w:rPr>
        <w:t xml:space="preserve"> for each subzone</w:t>
      </w:r>
      <w:r w:rsidR="00BC6E27" w:rsidRPr="00230A6C">
        <w:rPr>
          <w:rFonts w:ascii="Palatino Linotype" w:hAnsi="Palatino Linotype"/>
        </w:rPr>
        <w:t xml:space="preserve"> is</w:t>
      </w:r>
      <w:r w:rsidR="00514064" w:rsidRPr="00230A6C">
        <w:rPr>
          <w:rFonts w:ascii="Palatino Linotype" w:hAnsi="Palatino Linotype"/>
        </w:rPr>
        <w:t>,</w:t>
      </w:r>
      <w:r w:rsidR="00BC6E27" w:rsidRPr="00230A6C">
        <w:rPr>
          <w:rFonts w:ascii="Palatino Linotype" w:hAnsi="Palatino Linotype"/>
        </w:rPr>
        <w:t xml:space="preserve"> in turn</w:t>
      </w:r>
      <w:r w:rsidR="00514064" w:rsidRPr="00230A6C">
        <w:rPr>
          <w:rFonts w:ascii="Palatino Linotype" w:hAnsi="Palatino Linotype"/>
        </w:rPr>
        <w:t>,</w:t>
      </w:r>
      <w:r w:rsidR="00BC6E27" w:rsidRPr="00230A6C">
        <w:rPr>
          <w:rFonts w:ascii="Palatino Linotype" w:hAnsi="Palatino Linotype"/>
        </w:rPr>
        <w:t xml:space="preserve"> </w:t>
      </w:r>
      <w:r w:rsidR="00514064" w:rsidRPr="00230A6C">
        <w:rPr>
          <w:rFonts w:ascii="Palatino Linotype" w:hAnsi="Palatino Linotype"/>
        </w:rPr>
        <w:t>combine</w:t>
      </w:r>
      <w:r w:rsidR="00230A6C">
        <w:rPr>
          <w:rFonts w:ascii="Palatino Linotype" w:hAnsi="Palatino Linotype"/>
        </w:rPr>
        <w:t>d with its generalized travel accessibility to the rest of the region</w:t>
      </w:r>
      <w:r w:rsidR="00BC6E27" w:rsidRPr="00230A6C">
        <w:rPr>
          <w:rFonts w:ascii="Palatino Linotype" w:hAnsi="Palatino Linotype"/>
        </w:rPr>
        <w:t>.</w:t>
      </w:r>
      <w:r w:rsidR="00514064" w:rsidRPr="00230A6C">
        <w:rPr>
          <w:rFonts w:ascii="Palatino Linotype" w:hAnsi="Palatino Linotype"/>
        </w:rPr>
        <w:t xml:space="preserve">  This places the subzone in its regional context</w:t>
      </w:r>
      <w:r w:rsidR="00230A6C">
        <w:rPr>
          <w:rFonts w:ascii="Palatino Linotype" w:hAnsi="Palatino Linotype"/>
        </w:rPr>
        <w:t xml:space="preserve"> and “transfers” the scenario’s</w:t>
      </w:r>
      <w:r w:rsidR="00514064" w:rsidRPr="00230A6C">
        <w:rPr>
          <w:rFonts w:ascii="Palatino Linotype" w:hAnsi="Palatino Linotype"/>
        </w:rPr>
        <w:t xml:space="preserve"> compound </w:t>
      </w:r>
      <w:r w:rsidR="00230A6C">
        <w:rPr>
          <w:rFonts w:ascii="Palatino Linotype" w:hAnsi="Palatino Linotype"/>
        </w:rPr>
        <w:t xml:space="preserve">strategy </w:t>
      </w:r>
      <w:r w:rsidR="00514064" w:rsidRPr="00230A6C">
        <w:rPr>
          <w:rFonts w:ascii="Palatino Linotype" w:hAnsi="Palatino Linotype"/>
        </w:rPr>
        <w:t xml:space="preserve">effects </w:t>
      </w:r>
      <w:r w:rsidR="00DA7E75">
        <w:rPr>
          <w:rFonts w:ascii="Palatino Linotype" w:hAnsi="Palatino Linotype"/>
        </w:rPr>
        <w:t xml:space="preserve">to </w:t>
      </w:r>
      <w:r w:rsidR="00230A6C">
        <w:rPr>
          <w:rFonts w:ascii="Palatino Linotype" w:hAnsi="Palatino Linotype"/>
        </w:rPr>
        <w:t>other accessible locations</w:t>
      </w:r>
      <w:r w:rsidR="00C90A09" w:rsidRPr="00230A6C">
        <w:rPr>
          <w:rFonts w:ascii="Palatino Linotype" w:hAnsi="Palatino Linotype"/>
        </w:rPr>
        <w:t>.</w:t>
      </w:r>
      <w:r w:rsidR="00514064" w:rsidRPr="00230A6C">
        <w:rPr>
          <w:rFonts w:ascii="Palatino Linotype" w:hAnsi="Palatino Linotype"/>
        </w:rPr>
        <w:t xml:space="preserve">  The result is a probability that subzones with strong</w:t>
      </w:r>
      <w:r w:rsidR="00230A6C">
        <w:rPr>
          <w:rFonts w:ascii="Palatino Linotype" w:hAnsi="Palatino Linotype"/>
        </w:rPr>
        <w:t xml:space="preserve"> transportation</w:t>
      </w:r>
      <w:r w:rsidR="00514064" w:rsidRPr="00230A6C">
        <w:rPr>
          <w:rFonts w:ascii="Palatino Linotype" w:hAnsi="Palatino Linotype"/>
        </w:rPr>
        <w:t xml:space="preserve"> interacti</w:t>
      </w:r>
      <w:r w:rsidR="00230A6C">
        <w:rPr>
          <w:rFonts w:ascii="Palatino Linotype" w:hAnsi="Palatino Linotype"/>
        </w:rPr>
        <w:t>ons will share the benefits of particular location specific</w:t>
      </w:r>
      <w:r w:rsidR="00514064" w:rsidRPr="00230A6C">
        <w:rPr>
          <w:rFonts w:ascii="Palatino Linotype" w:hAnsi="Palatino Linotype"/>
        </w:rPr>
        <w:t xml:space="preserve"> strategies.</w:t>
      </w:r>
      <w:r w:rsidR="00766D4D">
        <w:rPr>
          <w:rFonts w:ascii="Palatino Linotype" w:hAnsi="Palatino Linotype"/>
        </w:rPr>
        <w:t xml:space="preserve">  The general form of this transfer is shown in</w:t>
      </w:r>
      <w:r w:rsidR="00EA71E3">
        <w:rPr>
          <w:rFonts w:ascii="Palatino Linotype" w:hAnsi="Palatino Linotype"/>
        </w:rPr>
        <w:t xml:space="preserve"> </w:t>
      </w:r>
      <w:r w:rsidR="00B96D7E">
        <w:fldChar w:fldCharType="begin"/>
      </w:r>
      <w:r w:rsidR="00B96D7E">
        <w:instrText xml:space="preserve"> REF _Ref262640458 \h  \* MERGEFORMAT </w:instrText>
      </w:r>
      <w:r w:rsidR="00B96D7E">
        <w:fldChar w:fldCharType="separate"/>
      </w:r>
      <w:r w:rsidR="009B0830" w:rsidRPr="009B0830">
        <w:rPr>
          <w:rFonts w:asciiTheme="majorHAnsi" w:hAnsiTheme="majorHAnsi"/>
          <w:b/>
        </w:rPr>
        <w:t>Appendix C: Urban activity reallocation function example</w:t>
      </w:r>
      <w:r w:rsidR="00B96D7E">
        <w:fldChar w:fldCharType="end"/>
      </w:r>
      <w:r w:rsidR="00EA71E3">
        <w:rPr>
          <w:rFonts w:ascii="Palatino Linotype" w:hAnsi="Palatino Linotype"/>
        </w:rPr>
        <w:t>.</w:t>
      </w:r>
    </w:p>
    <w:p w:rsidR="001C799C" w:rsidRPr="001C799C" w:rsidRDefault="00230A6C" w:rsidP="00156E5D">
      <w:pPr>
        <w:pStyle w:val="ListParagraph"/>
        <w:numPr>
          <w:ilvl w:val="0"/>
          <w:numId w:val="6"/>
        </w:numPr>
        <w:rPr>
          <w:rFonts w:ascii="Palatino Linotype" w:eastAsiaTheme="majorEastAsia" w:hAnsi="Palatino Linotype" w:cstheme="majorBidi"/>
          <w:b/>
          <w:bCs/>
          <w:color w:val="365F91" w:themeColor="accent1" w:themeShade="BF"/>
          <w:sz w:val="28"/>
          <w:szCs w:val="28"/>
        </w:rPr>
      </w:pPr>
      <w:r w:rsidRPr="00156E5D">
        <w:rPr>
          <w:rFonts w:ascii="Palatino Linotype" w:hAnsi="Palatino Linotype"/>
          <w:b/>
        </w:rPr>
        <w:t>Step 4</w:t>
      </w:r>
      <w:r w:rsidRPr="00156E5D">
        <w:rPr>
          <w:rFonts w:ascii="Palatino Linotype" w:hAnsi="Palatino Linotype"/>
        </w:rPr>
        <w:t>:  Forecast urban activity is then decomposed into constituent residential and non-residential components (i.e. households and jobs).</w:t>
      </w:r>
      <w:r w:rsidR="0036156C" w:rsidRPr="00156E5D">
        <w:rPr>
          <w:rFonts w:ascii="Palatino Linotype" w:hAnsi="Palatino Linotype"/>
        </w:rPr>
        <w:t xml:space="preserve">  The results of forecasting urban activity in this way are summaries in</w:t>
      </w:r>
      <w:bookmarkStart w:id="18" w:name="_Toc253553614"/>
      <w:r w:rsidR="00EA71E3">
        <w:rPr>
          <w:rFonts w:ascii="Palatino Linotype" w:hAnsi="Palatino Linotype"/>
        </w:rPr>
        <w:t xml:space="preserve"> </w:t>
      </w:r>
      <w:r w:rsidR="00B96D7E">
        <w:fldChar w:fldCharType="begin"/>
      </w:r>
      <w:r w:rsidR="00B96D7E">
        <w:instrText xml:space="preserve"> REF _Ref262640509 \h  \* MERGEFORMAT </w:instrText>
      </w:r>
      <w:r w:rsidR="00B96D7E">
        <w:fldChar w:fldCharType="separate"/>
      </w:r>
      <w:r w:rsidR="009B0830" w:rsidRPr="009B0830">
        <w:rPr>
          <w:rFonts w:asciiTheme="majorHAnsi" w:hAnsiTheme="majorHAnsi"/>
          <w:b/>
        </w:rPr>
        <w:t>Appendix D:  Summary of population and employment forecasts</w:t>
      </w:r>
      <w:r w:rsidR="00B96D7E">
        <w:fldChar w:fldCharType="end"/>
      </w:r>
      <w:r w:rsidR="00EA71E3">
        <w:rPr>
          <w:rFonts w:ascii="Palatino Linotype" w:hAnsi="Palatino Linotype"/>
        </w:rPr>
        <w:t>.</w:t>
      </w:r>
    </w:p>
    <w:p w:rsidR="00607BBC" w:rsidRDefault="001C799C" w:rsidP="001C799C">
      <w:pPr>
        <w:rPr>
          <w:rFonts w:ascii="Palatino Linotype" w:hAnsi="Palatino Linotype"/>
        </w:rPr>
      </w:pPr>
      <w:r>
        <w:rPr>
          <w:rFonts w:ascii="Palatino Linotype" w:hAnsi="Palatino Linotype"/>
        </w:rPr>
        <w:t xml:space="preserve">CMAP continuously refines and validates these long range planning assumptions.  </w:t>
      </w:r>
    </w:p>
    <w:p w:rsidR="0037118D" w:rsidRDefault="001C799C" w:rsidP="001C799C">
      <w:pPr>
        <w:rPr>
          <w:rFonts w:ascii="Palatino Linotype" w:hAnsi="Palatino Linotype"/>
        </w:rPr>
      </w:pPr>
      <w:r>
        <w:rPr>
          <w:rFonts w:ascii="Palatino Linotype" w:hAnsi="Palatino Linotype"/>
        </w:rPr>
        <w:t>Examples of additional test are show</w:t>
      </w:r>
      <w:r w:rsidR="0037118D">
        <w:rPr>
          <w:rFonts w:ascii="Palatino Linotype" w:hAnsi="Palatino Linotype"/>
        </w:rPr>
        <w:t xml:space="preserve">n </w:t>
      </w:r>
      <w:r>
        <w:rPr>
          <w:rFonts w:ascii="Palatino Linotype" w:hAnsi="Palatino Linotype"/>
        </w:rPr>
        <w:t>in</w:t>
      </w:r>
      <w:r w:rsidR="00607BBC">
        <w:rPr>
          <w:rFonts w:ascii="Palatino Linotype" w:hAnsi="Palatino Linotype"/>
        </w:rPr>
        <w:t xml:space="preserve"> </w:t>
      </w:r>
      <w:r w:rsidR="00B96D7E">
        <w:fldChar w:fldCharType="begin"/>
      </w:r>
      <w:r w:rsidR="00B96D7E">
        <w:instrText xml:space="preserve"> REF _Ref262640680 \h  \* MERGEFORMAT </w:instrText>
      </w:r>
      <w:r w:rsidR="00B96D7E">
        <w:fldChar w:fldCharType="separate"/>
      </w:r>
      <w:r w:rsidR="009B0830" w:rsidRPr="009B0830">
        <w:rPr>
          <w:rFonts w:ascii="Palatino Linotype" w:hAnsi="Palatino Linotype"/>
          <w:b/>
        </w:rPr>
        <w:t xml:space="preserve">Appendix E: </w:t>
      </w:r>
      <w:r w:rsidR="00C549B4">
        <w:rPr>
          <w:rFonts w:ascii="Palatino Linotype" w:hAnsi="Palatino Linotype"/>
          <w:b/>
        </w:rPr>
        <w:t xml:space="preserve"> </w:t>
      </w:r>
      <w:r w:rsidR="009B0830" w:rsidRPr="009B0830">
        <w:rPr>
          <w:rFonts w:ascii="Palatino Linotype" w:hAnsi="Palatino Linotype"/>
          <w:b/>
        </w:rPr>
        <w:t xml:space="preserve">Forecast validation </w:t>
      </w:r>
      <w:r w:rsidR="009B0830">
        <w:rPr>
          <w:rFonts w:ascii="Palatino Linotype" w:hAnsi="Palatino Linotype"/>
        </w:rPr>
        <w:t>checks</w:t>
      </w:r>
      <w:r w:rsidR="00B96D7E">
        <w:fldChar w:fldCharType="end"/>
      </w:r>
      <w:r>
        <w:rPr>
          <w:rFonts w:ascii="Palatino Linotype" w:hAnsi="Palatino Linotype"/>
        </w:rPr>
        <w:t>.</w:t>
      </w:r>
    </w:p>
    <w:p w:rsidR="00A25D7B" w:rsidRPr="00A25D7B" w:rsidRDefault="0037118D" w:rsidP="00A25D7B">
      <w:pPr>
        <w:rPr>
          <w:rFonts w:ascii="Palatino Linotype" w:hAnsi="Palatino Linotype"/>
          <w:b/>
        </w:rPr>
      </w:pPr>
      <w:r>
        <w:rPr>
          <w:rFonts w:ascii="Palatino Linotype" w:hAnsi="Palatino Linotype"/>
        </w:rPr>
        <w:t xml:space="preserve">The first </w:t>
      </w:r>
      <w:r w:rsidR="00851E57">
        <w:rPr>
          <w:rFonts w:ascii="Palatino Linotype" w:hAnsi="Palatino Linotype"/>
        </w:rPr>
        <w:t>validation test</w:t>
      </w:r>
      <w:r>
        <w:rPr>
          <w:rFonts w:ascii="Palatino Linotype" w:hAnsi="Palatino Linotype"/>
        </w:rPr>
        <w:t xml:space="preserve"> of the </w:t>
      </w:r>
      <w:r w:rsidR="00851E57">
        <w:rPr>
          <w:rFonts w:ascii="Palatino Linotype" w:hAnsi="Palatino Linotype"/>
        </w:rPr>
        <w:t xml:space="preserve">2040 </w:t>
      </w:r>
      <w:r>
        <w:rPr>
          <w:rFonts w:ascii="Palatino Linotype" w:hAnsi="Palatino Linotype"/>
        </w:rPr>
        <w:t xml:space="preserve">forecasts is in demonstrating that the long range plan and transportation improvement program conform to the State Implementation Plan for air quality conformity.  Summary tables of this analysis are shown in </w:t>
      </w:r>
      <w:r w:rsidR="00A25D7B">
        <w:rPr>
          <w:rFonts w:ascii="Palatino Linotype" w:hAnsi="Palatino Linotype"/>
          <w:b/>
        </w:rPr>
        <w:t>E4. Land Capacity Validation.</w:t>
      </w:r>
    </w:p>
    <w:p w:rsidR="002C31A4" w:rsidRPr="001C799C" w:rsidRDefault="002C31A4" w:rsidP="00CB782F">
      <w:pPr>
        <w:rPr>
          <w:rFonts w:ascii="Palatino Linotype" w:hAnsi="Palatino Linotype"/>
        </w:rPr>
      </w:pPr>
      <w:r w:rsidRPr="00156E5D">
        <w:rPr>
          <w:rFonts w:ascii="Palatino Linotype" w:hAnsi="Palatino Linotype"/>
        </w:rPr>
        <w:br w:type="page"/>
      </w:r>
    </w:p>
    <w:p w:rsidR="00BB0060" w:rsidRDefault="00BB0060" w:rsidP="002C31A4">
      <w:pPr>
        <w:pStyle w:val="Heading1"/>
        <w:jc w:val="center"/>
        <w:rPr>
          <w:rFonts w:ascii="Palatino Linotype" w:hAnsi="Palatino Linotype"/>
        </w:rPr>
      </w:pPr>
      <w:bookmarkStart w:id="19" w:name="_Toc284935554"/>
      <w:r>
        <w:rPr>
          <w:rFonts w:ascii="Palatino Linotype" w:hAnsi="Palatino Linotype"/>
        </w:rPr>
        <w:lastRenderedPageBreak/>
        <w:t>Appendices</w:t>
      </w:r>
      <w:bookmarkEnd w:id="18"/>
      <w:bookmarkEnd w:id="19"/>
    </w:p>
    <w:p w:rsidR="00EA7B7D" w:rsidRDefault="00EA7B7D">
      <w:pPr>
        <w:rPr>
          <w:rFonts w:ascii="Palatino Linotype" w:eastAsiaTheme="majorEastAsia" w:hAnsi="Palatino Linotype" w:cstheme="majorBidi"/>
          <w:b/>
          <w:bCs/>
          <w:color w:val="4F81BD" w:themeColor="accent1"/>
          <w:sz w:val="26"/>
          <w:szCs w:val="26"/>
        </w:rPr>
      </w:pPr>
      <w:r>
        <w:rPr>
          <w:rFonts w:ascii="Palatino Linotype" w:hAnsi="Palatino Linotype"/>
        </w:rPr>
        <w:br w:type="page"/>
      </w:r>
    </w:p>
    <w:p w:rsidR="003510AF" w:rsidRDefault="005C4E9C" w:rsidP="002517EA">
      <w:pPr>
        <w:pStyle w:val="Heading2"/>
        <w:rPr>
          <w:rFonts w:ascii="Palatino Linotype" w:hAnsi="Palatino Linotype"/>
        </w:rPr>
      </w:pPr>
      <w:bookmarkStart w:id="20" w:name="_Toc253553620"/>
      <w:bookmarkStart w:id="21" w:name="_Ref256434869"/>
      <w:bookmarkStart w:id="22" w:name="_Ref256596555"/>
      <w:bookmarkStart w:id="23" w:name="_Ref256596649"/>
      <w:bookmarkStart w:id="24" w:name="_Ref256596652"/>
      <w:bookmarkStart w:id="25" w:name="_Ref262640314"/>
      <w:bookmarkStart w:id="26" w:name="_Toc284935555"/>
      <w:bookmarkStart w:id="27" w:name="_Ref252375199"/>
      <w:bookmarkStart w:id="28" w:name="_Toc253553618"/>
      <w:bookmarkStart w:id="29" w:name="_Ref252278770"/>
      <w:r>
        <w:rPr>
          <w:rFonts w:ascii="Palatino Linotype" w:hAnsi="Palatino Linotype"/>
        </w:rPr>
        <w:lastRenderedPageBreak/>
        <w:t xml:space="preserve">Appendix A: </w:t>
      </w:r>
      <w:r w:rsidR="00C549B4">
        <w:rPr>
          <w:rFonts w:ascii="Palatino Linotype" w:hAnsi="Palatino Linotype"/>
        </w:rPr>
        <w:t xml:space="preserve"> </w:t>
      </w:r>
      <w:r>
        <w:rPr>
          <w:rFonts w:ascii="Palatino Linotype" w:hAnsi="Palatino Linotype"/>
        </w:rPr>
        <w:t xml:space="preserve">2040 </w:t>
      </w:r>
      <w:r w:rsidR="005719F8">
        <w:rPr>
          <w:rFonts w:ascii="Palatino Linotype" w:hAnsi="Palatino Linotype"/>
        </w:rPr>
        <w:t>modeled regional c</w:t>
      </w:r>
      <w:r w:rsidR="003510AF">
        <w:rPr>
          <w:rFonts w:ascii="Palatino Linotype" w:hAnsi="Palatino Linotype"/>
        </w:rPr>
        <w:t>onditions</w:t>
      </w:r>
      <w:bookmarkEnd w:id="20"/>
      <w:bookmarkEnd w:id="21"/>
      <w:bookmarkEnd w:id="22"/>
      <w:bookmarkEnd w:id="23"/>
      <w:bookmarkEnd w:id="24"/>
      <w:bookmarkEnd w:id="25"/>
      <w:bookmarkEnd w:id="26"/>
    </w:p>
    <w:p w:rsidR="00D12FA3" w:rsidRPr="000C1EF0" w:rsidRDefault="00D12FA3" w:rsidP="00D12FA3">
      <w:pPr>
        <w:rPr>
          <w:rFonts w:ascii="Palatino Linotype" w:hAnsi="Palatino Linotype"/>
        </w:rPr>
      </w:pPr>
      <w:r w:rsidRPr="000C1EF0">
        <w:rPr>
          <w:rFonts w:ascii="Palatino Linotype" w:hAnsi="Palatino Linotype"/>
        </w:rPr>
        <w:t xml:space="preserve">Below is a table summarizing the effect of </w:t>
      </w:r>
      <w:r w:rsidR="000C1EF0" w:rsidRPr="000C1EF0">
        <w:rPr>
          <w:rFonts w:ascii="Palatino Linotype" w:hAnsi="Palatino Linotype"/>
        </w:rPr>
        <w:t>changes in access product to typical transportation indicators.  The 2040 reference indicators are the result of no-action.  The 2040 preferred indicators are the result of G</w:t>
      </w:r>
      <w:r w:rsidR="00C549B4">
        <w:rPr>
          <w:rFonts w:ascii="Palatino Linotype" w:hAnsi="Palatino Linotype"/>
        </w:rPr>
        <w:t>O</w:t>
      </w:r>
      <w:r w:rsidR="000C1EF0" w:rsidRPr="000C1EF0">
        <w:rPr>
          <w:rFonts w:ascii="Palatino Linotype" w:hAnsi="Palatino Linotype"/>
        </w:rPr>
        <w:t xml:space="preserve"> T</w:t>
      </w:r>
      <w:r w:rsidR="00C549B4">
        <w:rPr>
          <w:rFonts w:ascii="Palatino Linotype" w:hAnsi="Palatino Linotype"/>
        </w:rPr>
        <w:t>O</w:t>
      </w:r>
      <w:r w:rsidR="000C1EF0" w:rsidRPr="000C1EF0">
        <w:rPr>
          <w:rFonts w:ascii="Palatino Linotype" w:hAnsi="Palatino Linotype"/>
        </w:rPr>
        <w:t xml:space="preserve"> 2040</w:t>
      </w:r>
      <w:r w:rsidR="005C4E9C">
        <w:rPr>
          <w:rFonts w:ascii="Palatino Linotype" w:hAnsi="Palatino Linotype"/>
        </w:rPr>
        <w:t xml:space="preserve"> preferred scenario</w:t>
      </w:r>
      <w:r w:rsidR="000C1EF0" w:rsidRPr="000C1EF0">
        <w:rPr>
          <w:rFonts w:ascii="Palatino Linotype" w:hAnsi="Palatino Linotype"/>
        </w:rPr>
        <w:t xml:space="preserve"> land use and transportation strategies</w:t>
      </w:r>
      <w:r w:rsidR="00C549B4">
        <w:rPr>
          <w:rFonts w:ascii="Palatino Linotype" w:hAnsi="Palatino Linotype"/>
        </w:rPr>
        <w:t>.</w:t>
      </w:r>
      <w:r w:rsidR="00790A26">
        <w:rPr>
          <w:rStyle w:val="EndnoteReference"/>
          <w:rFonts w:ascii="Palatino Linotype" w:hAnsi="Palatino Linotype"/>
        </w:rPr>
        <w:endnoteReference w:id="4"/>
      </w:r>
    </w:p>
    <w:tbl>
      <w:tblPr>
        <w:tblStyle w:val="TableGrid"/>
        <w:tblW w:w="0" w:type="auto"/>
        <w:tblLook w:val="04A0" w:firstRow="1" w:lastRow="0" w:firstColumn="1" w:lastColumn="0" w:noHBand="0" w:noVBand="1"/>
      </w:tblPr>
      <w:tblGrid>
        <w:gridCol w:w="1688"/>
        <w:gridCol w:w="959"/>
        <w:gridCol w:w="1362"/>
        <w:gridCol w:w="1880"/>
      </w:tblGrid>
      <w:tr w:rsidR="003510AF" w:rsidRPr="007702DD" w:rsidTr="00EA10FA">
        <w:trPr>
          <w:trHeight w:val="260"/>
        </w:trPr>
        <w:tc>
          <w:tcPr>
            <w:tcW w:w="1688" w:type="dxa"/>
            <w:vAlign w:val="center"/>
            <w:hideMark/>
          </w:tcPr>
          <w:p w:rsidR="003510AF" w:rsidRPr="007702DD" w:rsidRDefault="003510AF" w:rsidP="006704FA">
            <w:pPr>
              <w:spacing w:line="276" w:lineRule="auto"/>
              <w:jc w:val="center"/>
              <w:rPr>
                <w:rFonts w:ascii="Arial" w:hAnsi="Arial" w:cs="Arial"/>
                <w:sz w:val="16"/>
                <w:szCs w:val="16"/>
              </w:rPr>
            </w:pPr>
          </w:p>
        </w:tc>
        <w:tc>
          <w:tcPr>
            <w:tcW w:w="959" w:type="dxa"/>
            <w:vAlign w:val="center"/>
            <w:hideMark/>
          </w:tcPr>
          <w:p w:rsidR="003510AF" w:rsidRPr="007702DD" w:rsidRDefault="003510AF" w:rsidP="006704FA">
            <w:pPr>
              <w:spacing w:line="276" w:lineRule="auto"/>
              <w:jc w:val="center"/>
              <w:rPr>
                <w:rFonts w:ascii="Arial" w:hAnsi="Arial" w:cs="Arial"/>
                <w:b/>
                <w:bCs/>
                <w:sz w:val="16"/>
                <w:szCs w:val="16"/>
                <w:u w:val="single"/>
              </w:rPr>
            </w:pPr>
            <w:r w:rsidRPr="007702DD">
              <w:rPr>
                <w:rFonts w:ascii="Arial" w:hAnsi="Arial" w:cs="Arial"/>
                <w:b/>
                <w:bCs/>
                <w:sz w:val="16"/>
                <w:szCs w:val="16"/>
                <w:u w:val="single"/>
              </w:rPr>
              <w:t>2010</w:t>
            </w:r>
          </w:p>
        </w:tc>
        <w:tc>
          <w:tcPr>
            <w:tcW w:w="1362" w:type="dxa"/>
            <w:vAlign w:val="center"/>
            <w:hideMark/>
          </w:tcPr>
          <w:p w:rsidR="003510AF" w:rsidRPr="007702DD" w:rsidRDefault="003510AF" w:rsidP="006704FA">
            <w:pPr>
              <w:spacing w:line="276" w:lineRule="auto"/>
              <w:jc w:val="center"/>
              <w:rPr>
                <w:rFonts w:ascii="Arial" w:hAnsi="Arial" w:cs="Arial"/>
                <w:b/>
                <w:bCs/>
                <w:sz w:val="16"/>
                <w:szCs w:val="16"/>
                <w:u w:val="single"/>
              </w:rPr>
            </w:pPr>
            <w:r w:rsidRPr="007702DD">
              <w:rPr>
                <w:rFonts w:ascii="Arial" w:hAnsi="Arial" w:cs="Arial"/>
                <w:b/>
                <w:bCs/>
                <w:sz w:val="16"/>
                <w:szCs w:val="16"/>
                <w:u w:val="single"/>
              </w:rPr>
              <w:t>2040 reference</w:t>
            </w:r>
          </w:p>
        </w:tc>
        <w:tc>
          <w:tcPr>
            <w:tcW w:w="1880" w:type="dxa"/>
            <w:vAlign w:val="center"/>
            <w:hideMark/>
          </w:tcPr>
          <w:p w:rsidR="003510AF" w:rsidRPr="007702DD" w:rsidRDefault="003510AF" w:rsidP="006704FA">
            <w:pPr>
              <w:spacing w:line="276" w:lineRule="auto"/>
              <w:jc w:val="center"/>
              <w:rPr>
                <w:rFonts w:ascii="Arial" w:hAnsi="Arial" w:cs="Arial"/>
                <w:b/>
                <w:bCs/>
                <w:sz w:val="16"/>
                <w:szCs w:val="16"/>
                <w:u w:val="single"/>
              </w:rPr>
            </w:pPr>
            <w:r>
              <w:rPr>
                <w:rFonts w:ascii="Arial" w:hAnsi="Arial" w:cs="Arial"/>
                <w:b/>
                <w:bCs/>
                <w:sz w:val="16"/>
                <w:szCs w:val="16"/>
                <w:u w:val="single"/>
              </w:rPr>
              <w:t xml:space="preserve">2040 </w:t>
            </w:r>
            <w:r w:rsidRPr="007702DD">
              <w:rPr>
                <w:rFonts w:ascii="Arial" w:hAnsi="Arial" w:cs="Arial"/>
                <w:b/>
                <w:bCs/>
                <w:sz w:val="16"/>
                <w:szCs w:val="16"/>
                <w:u w:val="single"/>
              </w:rPr>
              <w:t>preferred</w:t>
            </w:r>
          </w:p>
        </w:tc>
      </w:tr>
      <w:tr w:rsidR="003510AF" w:rsidRPr="007702DD" w:rsidTr="00B55162">
        <w:trPr>
          <w:trHeight w:val="255"/>
        </w:trPr>
        <w:tc>
          <w:tcPr>
            <w:tcW w:w="1688" w:type="dxa"/>
            <w:noWrap/>
            <w:vAlign w:val="center"/>
            <w:hideMark/>
          </w:tcPr>
          <w:p w:rsidR="003510AF" w:rsidRPr="007702DD" w:rsidRDefault="003510AF" w:rsidP="006704FA">
            <w:pPr>
              <w:spacing w:line="276" w:lineRule="auto"/>
              <w:jc w:val="center"/>
              <w:rPr>
                <w:rFonts w:ascii="Arial" w:hAnsi="Arial" w:cs="Arial"/>
                <w:sz w:val="16"/>
                <w:szCs w:val="16"/>
              </w:rPr>
            </w:pPr>
          </w:p>
        </w:tc>
        <w:tc>
          <w:tcPr>
            <w:tcW w:w="4201" w:type="dxa"/>
            <w:gridSpan w:val="3"/>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b/>
                <w:bCs/>
                <w:sz w:val="16"/>
                <w:szCs w:val="16"/>
              </w:rPr>
              <w:t>Daily Person Trips</w:t>
            </w:r>
          </w:p>
        </w:tc>
      </w:tr>
      <w:tr w:rsidR="003510AF" w:rsidRPr="007702DD" w:rsidTr="00EA10FA">
        <w:trPr>
          <w:trHeight w:val="255"/>
        </w:trPr>
        <w:tc>
          <w:tcPr>
            <w:tcW w:w="1688" w:type="dxa"/>
            <w:noWrap/>
            <w:vAlign w:val="center"/>
            <w:hideMark/>
          </w:tcPr>
          <w:p w:rsidR="003510AF" w:rsidRPr="007702DD" w:rsidRDefault="003510AF" w:rsidP="006704FA">
            <w:pPr>
              <w:spacing w:line="276" w:lineRule="auto"/>
              <w:jc w:val="center"/>
              <w:rPr>
                <w:rFonts w:ascii="Arial" w:hAnsi="Arial" w:cs="Arial"/>
                <w:b/>
                <w:bCs/>
                <w:sz w:val="16"/>
                <w:szCs w:val="16"/>
              </w:rPr>
            </w:pPr>
          </w:p>
        </w:tc>
        <w:tc>
          <w:tcPr>
            <w:tcW w:w="959"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22</w:t>
            </w:r>
            <w:r>
              <w:rPr>
                <w:rFonts w:ascii="Arial" w:hAnsi="Arial" w:cs="Arial"/>
                <w:sz w:val="16"/>
                <w:szCs w:val="16"/>
              </w:rPr>
              <w:t>.2M</w:t>
            </w:r>
          </w:p>
        </w:tc>
        <w:tc>
          <w:tcPr>
            <w:tcW w:w="1362"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29</w:t>
            </w:r>
            <w:r>
              <w:rPr>
                <w:rFonts w:ascii="Arial" w:hAnsi="Arial" w:cs="Arial"/>
                <w:sz w:val="16"/>
                <w:szCs w:val="16"/>
              </w:rPr>
              <w:t>.0M</w:t>
            </w:r>
          </w:p>
        </w:tc>
        <w:tc>
          <w:tcPr>
            <w:tcW w:w="1880"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29</w:t>
            </w:r>
            <w:r>
              <w:rPr>
                <w:rFonts w:ascii="Arial" w:hAnsi="Arial" w:cs="Arial"/>
                <w:sz w:val="16"/>
                <w:szCs w:val="16"/>
              </w:rPr>
              <w:t>.0M</w:t>
            </w:r>
          </w:p>
        </w:tc>
      </w:tr>
      <w:tr w:rsidR="003510AF" w:rsidRPr="007702DD" w:rsidTr="00EA10FA">
        <w:trPr>
          <w:trHeight w:val="255"/>
        </w:trPr>
        <w:tc>
          <w:tcPr>
            <w:tcW w:w="1688" w:type="dxa"/>
            <w:noWrap/>
            <w:vAlign w:val="center"/>
            <w:hideMark/>
          </w:tcPr>
          <w:p w:rsidR="003510AF" w:rsidRPr="007702DD" w:rsidRDefault="003510AF" w:rsidP="006704FA">
            <w:pPr>
              <w:jc w:val="center"/>
              <w:rPr>
                <w:rFonts w:ascii="Arial" w:hAnsi="Arial" w:cs="Arial"/>
                <w:sz w:val="16"/>
                <w:szCs w:val="16"/>
              </w:rPr>
            </w:pPr>
          </w:p>
        </w:tc>
        <w:tc>
          <w:tcPr>
            <w:tcW w:w="4201" w:type="dxa"/>
            <w:gridSpan w:val="3"/>
            <w:noWrap/>
            <w:vAlign w:val="center"/>
            <w:hideMark/>
          </w:tcPr>
          <w:p w:rsidR="003510AF" w:rsidRPr="007702DD" w:rsidRDefault="003510AF" w:rsidP="006704FA">
            <w:pPr>
              <w:jc w:val="center"/>
              <w:rPr>
                <w:rFonts w:ascii="Arial" w:hAnsi="Arial" w:cs="Arial"/>
                <w:sz w:val="16"/>
                <w:szCs w:val="16"/>
              </w:rPr>
            </w:pPr>
            <w:r w:rsidRPr="007702DD">
              <w:rPr>
                <w:rFonts w:ascii="Arial" w:hAnsi="Arial" w:cs="Arial"/>
                <w:sz w:val="16"/>
                <w:szCs w:val="16"/>
              </w:rPr>
              <w:t>Transit  Share</w:t>
            </w:r>
          </w:p>
        </w:tc>
      </w:tr>
      <w:tr w:rsidR="003510AF" w:rsidRPr="007702DD" w:rsidTr="00EA10FA">
        <w:trPr>
          <w:trHeight w:val="255"/>
        </w:trPr>
        <w:tc>
          <w:tcPr>
            <w:tcW w:w="1688" w:type="dxa"/>
            <w:noWrap/>
            <w:vAlign w:val="center"/>
            <w:hideMark/>
          </w:tcPr>
          <w:p w:rsidR="003510AF" w:rsidRPr="007702DD" w:rsidRDefault="003510AF" w:rsidP="006704FA">
            <w:pPr>
              <w:spacing w:line="276" w:lineRule="auto"/>
              <w:jc w:val="center"/>
              <w:rPr>
                <w:rFonts w:ascii="Arial" w:hAnsi="Arial" w:cs="Arial"/>
                <w:sz w:val="16"/>
                <w:szCs w:val="16"/>
              </w:rPr>
            </w:pPr>
          </w:p>
        </w:tc>
        <w:tc>
          <w:tcPr>
            <w:tcW w:w="959"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9.1%</w:t>
            </w:r>
          </w:p>
        </w:tc>
        <w:tc>
          <w:tcPr>
            <w:tcW w:w="1362"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8.6%</w:t>
            </w:r>
          </w:p>
        </w:tc>
        <w:tc>
          <w:tcPr>
            <w:tcW w:w="1880"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12.0%</w:t>
            </w:r>
          </w:p>
        </w:tc>
      </w:tr>
      <w:tr w:rsidR="003510AF" w:rsidRPr="007702DD" w:rsidTr="00EA10FA">
        <w:trPr>
          <w:trHeight w:val="255"/>
        </w:trPr>
        <w:tc>
          <w:tcPr>
            <w:tcW w:w="1688" w:type="dxa"/>
            <w:noWrap/>
            <w:vAlign w:val="center"/>
            <w:hideMark/>
          </w:tcPr>
          <w:p w:rsidR="003510AF" w:rsidRPr="007702DD" w:rsidRDefault="003510AF" w:rsidP="006704FA">
            <w:pPr>
              <w:spacing w:line="276" w:lineRule="auto"/>
              <w:jc w:val="center"/>
              <w:rPr>
                <w:rFonts w:ascii="Arial" w:hAnsi="Arial" w:cs="Arial"/>
                <w:sz w:val="16"/>
                <w:szCs w:val="16"/>
              </w:rPr>
            </w:pPr>
          </w:p>
        </w:tc>
        <w:tc>
          <w:tcPr>
            <w:tcW w:w="4201" w:type="dxa"/>
            <w:gridSpan w:val="3"/>
            <w:vAlign w:val="center"/>
          </w:tcPr>
          <w:p w:rsidR="003510AF" w:rsidRPr="007702DD" w:rsidRDefault="003510AF" w:rsidP="006704FA">
            <w:pPr>
              <w:jc w:val="center"/>
              <w:rPr>
                <w:rFonts w:ascii="Arial" w:hAnsi="Arial" w:cs="Arial"/>
                <w:sz w:val="16"/>
                <w:szCs w:val="16"/>
              </w:rPr>
            </w:pPr>
            <w:r w:rsidRPr="007702DD">
              <w:rPr>
                <w:rFonts w:ascii="Arial" w:hAnsi="Arial" w:cs="Arial"/>
                <w:b/>
                <w:bCs/>
                <w:sz w:val="16"/>
                <w:szCs w:val="16"/>
              </w:rPr>
              <w:t>Average Work Trip Duration (minutes)</w:t>
            </w:r>
          </w:p>
        </w:tc>
      </w:tr>
      <w:tr w:rsidR="003510AF" w:rsidRPr="007702DD" w:rsidTr="00EA10FA">
        <w:trPr>
          <w:trHeight w:val="255"/>
        </w:trPr>
        <w:tc>
          <w:tcPr>
            <w:tcW w:w="1688"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Auto</w:t>
            </w:r>
          </w:p>
        </w:tc>
        <w:tc>
          <w:tcPr>
            <w:tcW w:w="959"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3</w:t>
            </w:r>
            <w:r>
              <w:rPr>
                <w:rFonts w:ascii="Arial" w:hAnsi="Arial" w:cs="Arial"/>
                <w:sz w:val="16"/>
                <w:szCs w:val="16"/>
              </w:rPr>
              <w:t>2</w:t>
            </w:r>
          </w:p>
        </w:tc>
        <w:tc>
          <w:tcPr>
            <w:tcW w:w="1362"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32</w:t>
            </w:r>
          </w:p>
        </w:tc>
        <w:tc>
          <w:tcPr>
            <w:tcW w:w="1880"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30</w:t>
            </w:r>
          </w:p>
        </w:tc>
      </w:tr>
      <w:tr w:rsidR="003510AF" w:rsidRPr="007702DD" w:rsidTr="00EA10FA">
        <w:trPr>
          <w:trHeight w:val="255"/>
        </w:trPr>
        <w:tc>
          <w:tcPr>
            <w:tcW w:w="1688"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Transit</w:t>
            </w:r>
          </w:p>
        </w:tc>
        <w:tc>
          <w:tcPr>
            <w:tcW w:w="959"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53</w:t>
            </w:r>
          </w:p>
        </w:tc>
        <w:tc>
          <w:tcPr>
            <w:tcW w:w="1362"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55</w:t>
            </w:r>
          </w:p>
        </w:tc>
        <w:tc>
          <w:tcPr>
            <w:tcW w:w="1880" w:type="dxa"/>
            <w:noWrap/>
            <w:vAlign w:val="center"/>
            <w:hideMark/>
          </w:tcPr>
          <w:p w:rsidR="003510AF" w:rsidRPr="007702DD" w:rsidRDefault="003510AF" w:rsidP="006704FA">
            <w:pPr>
              <w:spacing w:line="276" w:lineRule="auto"/>
              <w:jc w:val="center"/>
              <w:rPr>
                <w:rFonts w:ascii="Arial" w:hAnsi="Arial" w:cs="Arial"/>
                <w:sz w:val="16"/>
                <w:szCs w:val="16"/>
              </w:rPr>
            </w:pPr>
            <w:r w:rsidRPr="007702DD">
              <w:rPr>
                <w:rFonts w:ascii="Arial" w:hAnsi="Arial" w:cs="Arial"/>
                <w:sz w:val="16"/>
                <w:szCs w:val="16"/>
              </w:rPr>
              <w:t>47</w:t>
            </w:r>
          </w:p>
        </w:tc>
      </w:tr>
      <w:tr w:rsidR="003510AF" w:rsidRPr="007702DD" w:rsidTr="00EA10FA">
        <w:trPr>
          <w:trHeight w:val="255"/>
        </w:trPr>
        <w:tc>
          <w:tcPr>
            <w:tcW w:w="1688" w:type="dxa"/>
            <w:noWrap/>
            <w:vAlign w:val="center"/>
          </w:tcPr>
          <w:p w:rsidR="003510AF" w:rsidRPr="00741293" w:rsidRDefault="003510AF" w:rsidP="006704FA">
            <w:pPr>
              <w:jc w:val="center"/>
              <w:rPr>
                <w:rFonts w:ascii="Arial" w:hAnsi="Arial" w:cs="Arial"/>
                <w:b/>
                <w:sz w:val="16"/>
                <w:szCs w:val="16"/>
              </w:rPr>
            </w:pPr>
          </w:p>
        </w:tc>
        <w:tc>
          <w:tcPr>
            <w:tcW w:w="4201" w:type="dxa"/>
            <w:gridSpan w:val="3"/>
            <w:noWrap/>
            <w:vAlign w:val="center"/>
          </w:tcPr>
          <w:p w:rsidR="003510AF" w:rsidRPr="007702DD" w:rsidRDefault="003510AF" w:rsidP="006704FA">
            <w:pPr>
              <w:jc w:val="center"/>
              <w:rPr>
                <w:rFonts w:ascii="Arial" w:hAnsi="Arial" w:cs="Arial"/>
                <w:sz w:val="16"/>
                <w:szCs w:val="16"/>
              </w:rPr>
            </w:pPr>
            <w:r w:rsidRPr="00741293">
              <w:rPr>
                <w:rFonts w:ascii="Arial" w:hAnsi="Arial" w:cs="Arial"/>
                <w:b/>
                <w:sz w:val="16"/>
                <w:szCs w:val="16"/>
              </w:rPr>
              <w:t>Highway Network Congestion</w:t>
            </w:r>
          </w:p>
        </w:tc>
      </w:tr>
      <w:tr w:rsidR="003510AF" w:rsidRPr="007702DD" w:rsidTr="00EA10FA">
        <w:trPr>
          <w:trHeight w:val="255"/>
        </w:trPr>
        <w:tc>
          <w:tcPr>
            <w:tcW w:w="1688" w:type="dxa"/>
            <w:noWrap/>
            <w:vAlign w:val="center"/>
          </w:tcPr>
          <w:p w:rsidR="003510AF" w:rsidRPr="00741293" w:rsidRDefault="003510AF" w:rsidP="006704FA">
            <w:pPr>
              <w:jc w:val="center"/>
              <w:rPr>
                <w:rFonts w:ascii="Arial" w:hAnsi="Arial" w:cs="Arial"/>
                <w:b/>
                <w:sz w:val="16"/>
                <w:szCs w:val="16"/>
              </w:rPr>
            </w:pPr>
          </w:p>
        </w:tc>
        <w:tc>
          <w:tcPr>
            <w:tcW w:w="959" w:type="dxa"/>
            <w:noWrap/>
            <w:vAlign w:val="center"/>
          </w:tcPr>
          <w:p w:rsidR="003510AF" w:rsidRPr="007702DD" w:rsidRDefault="003510AF" w:rsidP="006704FA">
            <w:pPr>
              <w:jc w:val="center"/>
              <w:rPr>
                <w:rFonts w:ascii="Arial" w:hAnsi="Arial" w:cs="Arial"/>
                <w:sz w:val="16"/>
                <w:szCs w:val="16"/>
              </w:rPr>
            </w:pPr>
            <w:r>
              <w:rPr>
                <w:rFonts w:ascii="Arial" w:hAnsi="Arial" w:cs="Arial"/>
                <w:sz w:val="16"/>
                <w:szCs w:val="16"/>
              </w:rPr>
              <w:t>15%</w:t>
            </w:r>
          </w:p>
        </w:tc>
        <w:tc>
          <w:tcPr>
            <w:tcW w:w="1362" w:type="dxa"/>
            <w:noWrap/>
            <w:vAlign w:val="center"/>
          </w:tcPr>
          <w:p w:rsidR="003510AF" w:rsidRPr="007702DD" w:rsidRDefault="003510AF" w:rsidP="006704FA">
            <w:pPr>
              <w:jc w:val="center"/>
              <w:rPr>
                <w:rFonts w:ascii="Arial" w:hAnsi="Arial" w:cs="Arial"/>
                <w:sz w:val="16"/>
                <w:szCs w:val="16"/>
              </w:rPr>
            </w:pPr>
            <w:r>
              <w:rPr>
                <w:rFonts w:ascii="Arial" w:hAnsi="Arial" w:cs="Arial"/>
                <w:sz w:val="16"/>
                <w:szCs w:val="16"/>
              </w:rPr>
              <w:t>20%</w:t>
            </w:r>
          </w:p>
        </w:tc>
        <w:tc>
          <w:tcPr>
            <w:tcW w:w="1880" w:type="dxa"/>
            <w:noWrap/>
            <w:vAlign w:val="center"/>
          </w:tcPr>
          <w:p w:rsidR="003510AF" w:rsidRPr="007702DD" w:rsidRDefault="003510AF" w:rsidP="006704FA">
            <w:pPr>
              <w:jc w:val="center"/>
              <w:rPr>
                <w:rFonts w:ascii="Arial" w:hAnsi="Arial" w:cs="Arial"/>
                <w:sz w:val="16"/>
                <w:szCs w:val="16"/>
              </w:rPr>
            </w:pPr>
            <w:r>
              <w:rPr>
                <w:rFonts w:ascii="Arial" w:hAnsi="Arial" w:cs="Arial"/>
                <w:sz w:val="16"/>
                <w:szCs w:val="16"/>
              </w:rPr>
              <w:t>18%</w:t>
            </w:r>
          </w:p>
        </w:tc>
      </w:tr>
    </w:tbl>
    <w:p w:rsidR="000C1EF0" w:rsidRDefault="000C1EF0" w:rsidP="002517EA">
      <w:pPr>
        <w:pStyle w:val="Heading2"/>
        <w:rPr>
          <w:rFonts w:ascii="Palatino Linotype" w:hAnsi="Palatino Linotype"/>
        </w:rPr>
      </w:pPr>
      <w:bookmarkStart w:id="30" w:name="_Ref256596680"/>
    </w:p>
    <w:p w:rsidR="000C1EF0" w:rsidRDefault="000C1EF0" w:rsidP="000C1EF0">
      <w:pPr>
        <w:rPr>
          <w:rFonts w:eastAsiaTheme="majorEastAsia" w:cstheme="majorBidi"/>
          <w:color w:val="4F81BD" w:themeColor="accent1"/>
          <w:sz w:val="26"/>
          <w:szCs w:val="26"/>
        </w:rPr>
      </w:pPr>
      <w:r>
        <w:br w:type="page"/>
      </w:r>
    </w:p>
    <w:p w:rsidR="00C61E12" w:rsidRDefault="003510AF" w:rsidP="002517EA">
      <w:pPr>
        <w:pStyle w:val="Heading2"/>
        <w:rPr>
          <w:rFonts w:ascii="Palatino Linotype" w:hAnsi="Palatino Linotype"/>
        </w:rPr>
      </w:pPr>
      <w:bookmarkStart w:id="31" w:name="_Ref262640403"/>
      <w:bookmarkStart w:id="32" w:name="_Toc284935556"/>
      <w:r>
        <w:rPr>
          <w:rFonts w:ascii="Palatino Linotype" w:hAnsi="Palatino Linotype"/>
        </w:rPr>
        <w:lastRenderedPageBreak/>
        <w:t>Appendix B</w:t>
      </w:r>
      <w:r w:rsidR="00C61E12">
        <w:rPr>
          <w:rFonts w:ascii="Palatino Linotype" w:hAnsi="Palatino Linotype"/>
        </w:rPr>
        <w:t xml:space="preserve">: </w:t>
      </w:r>
      <w:r w:rsidR="00C549B4">
        <w:rPr>
          <w:rFonts w:ascii="Palatino Linotype" w:hAnsi="Palatino Linotype"/>
        </w:rPr>
        <w:t xml:space="preserve"> </w:t>
      </w:r>
      <w:r w:rsidR="003C7132">
        <w:rPr>
          <w:rFonts w:ascii="Palatino Linotype" w:hAnsi="Palatino Linotype"/>
        </w:rPr>
        <w:t xml:space="preserve">Brownfield </w:t>
      </w:r>
      <w:bookmarkEnd w:id="27"/>
      <w:bookmarkEnd w:id="28"/>
      <w:bookmarkEnd w:id="30"/>
      <w:r w:rsidR="005719F8">
        <w:rPr>
          <w:rFonts w:ascii="Palatino Linotype" w:hAnsi="Palatino Linotype"/>
        </w:rPr>
        <w:t>strategy modeling example</w:t>
      </w:r>
      <w:bookmarkEnd w:id="31"/>
      <w:bookmarkEnd w:id="32"/>
    </w:p>
    <w:p w:rsidR="005C4E9C" w:rsidRPr="005C4E9C" w:rsidRDefault="005C4E9C" w:rsidP="005C4E9C">
      <w:pPr>
        <w:rPr>
          <w:rFonts w:ascii="Palatino Linotype" w:hAnsi="Palatino Linotype"/>
        </w:rPr>
      </w:pPr>
      <w:r>
        <w:br/>
      </w:r>
      <w:r w:rsidRPr="005C4E9C">
        <w:rPr>
          <w:rFonts w:ascii="Palatino Linotype" w:hAnsi="Palatino Linotype"/>
        </w:rPr>
        <w:t xml:space="preserve">Below is an example of the process by which selected planning strategies were independently evaluated prior to being assembled into the preferred scenario.  A novel land use strategy was aimed at establishing </w:t>
      </w:r>
      <w:r w:rsidR="007E063A" w:rsidRPr="005C4E9C">
        <w:rPr>
          <w:rFonts w:ascii="Palatino Linotype" w:hAnsi="Palatino Linotype"/>
        </w:rPr>
        <w:t>criteria</w:t>
      </w:r>
      <w:r w:rsidRPr="005C4E9C">
        <w:rPr>
          <w:rFonts w:ascii="Palatino Linotype" w:hAnsi="Palatino Linotype"/>
        </w:rPr>
        <w:t xml:space="preserve"> for public subsidies to brownfield remediation.</w:t>
      </w:r>
    </w:p>
    <w:p w:rsidR="00717298" w:rsidRPr="00A80B97" w:rsidRDefault="00717298" w:rsidP="00217BC3">
      <w:pPr>
        <w:rPr>
          <w:rFonts w:ascii="Palatino Linotype" w:hAnsi="Palatino Linotype"/>
        </w:rPr>
      </w:pPr>
      <w:r w:rsidRPr="00A80B97">
        <w:rPr>
          <w:rFonts w:ascii="Palatino Linotype" w:hAnsi="Palatino Linotype"/>
          <w:sz w:val="20"/>
          <w:szCs w:val="20"/>
          <w:u w:val="single"/>
        </w:rPr>
        <w:t>Problem Statement</w:t>
      </w:r>
      <w:r w:rsidR="00D748E9" w:rsidRPr="00A80B97">
        <w:rPr>
          <w:rFonts w:ascii="Palatino Linotype" w:hAnsi="Palatino Linotype"/>
          <w:sz w:val="20"/>
          <w:szCs w:val="20"/>
          <w:u w:val="single"/>
        </w:rPr>
        <w:t xml:space="preserve">: </w:t>
      </w:r>
      <w:r w:rsidR="00C549B4">
        <w:rPr>
          <w:rFonts w:ascii="Palatino Linotype" w:hAnsi="Palatino Linotype"/>
          <w:sz w:val="20"/>
          <w:szCs w:val="20"/>
          <w:u w:val="single"/>
        </w:rPr>
        <w:t xml:space="preserve"> </w:t>
      </w:r>
      <w:r w:rsidRPr="00A80B97">
        <w:rPr>
          <w:rFonts w:ascii="Palatino Linotype" w:hAnsi="Palatino Linotype"/>
        </w:rPr>
        <w:t>The persistence of brownfields is the byproduct of a market failure to assess full costs of environmental damage to the stewards of a contaminated parcel.</w:t>
      </w:r>
      <w:r w:rsidR="00D748E9" w:rsidRPr="00A80B97">
        <w:rPr>
          <w:rFonts w:ascii="Palatino Linotype" w:hAnsi="Palatino Linotype"/>
        </w:rPr>
        <w:t xml:space="preserve"> </w:t>
      </w:r>
      <w:r w:rsidR="00632D50">
        <w:rPr>
          <w:rFonts w:ascii="Palatino Linotype" w:hAnsi="Palatino Linotype"/>
        </w:rPr>
        <w:t xml:space="preserve"> </w:t>
      </w:r>
      <w:r w:rsidRPr="00A80B97">
        <w:rPr>
          <w:rFonts w:ascii="Palatino Linotype" w:hAnsi="Palatino Linotype"/>
        </w:rPr>
        <w:t>A brownfield parcel’s future private market potential is inhibited by perceived or known costs associated with remediating its environmental condition.</w:t>
      </w:r>
      <w:r w:rsidR="00D748E9" w:rsidRPr="00A80B97">
        <w:rPr>
          <w:rFonts w:ascii="Palatino Linotype" w:hAnsi="Palatino Linotype"/>
        </w:rPr>
        <w:t xml:space="preserve">  </w:t>
      </w:r>
      <w:r w:rsidRPr="00A80B97">
        <w:rPr>
          <w:rFonts w:ascii="Palatino Linotype" w:hAnsi="Palatino Linotype"/>
        </w:rPr>
        <w:t>While unit remediation costs may be uniform, there is a disparity in the market valuation of brownfields that will result in low valued parcels being bypassed in the real estate market.  This perpetuates their derelict state and generates further negative environmental externalities.</w:t>
      </w:r>
    </w:p>
    <w:p w:rsidR="00717298" w:rsidRPr="00A80B97" w:rsidRDefault="00D748E9" w:rsidP="00217BC3">
      <w:pPr>
        <w:rPr>
          <w:rFonts w:ascii="Palatino Linotype" w:hAnsi="Palatino Linotype"/>
        </w:rPr>
      </w:pPr>
      <w:r w:rsidRPr="00A80B97">
        <w:rPr>
          <w:rFonts w:ascii="Palatino Linotype" w:hAnsi="Palatino Linotype"/>
          <w:sz w:val="20"/>
          <w:szCs w:val="20"/>
          <w:u w:val="single"/>
        </w:rPr>
        <w:t>Planning</w:t>
      </w:r>
      <w:r w:rsidR="00717298" w:rsidRPr="00A80B97">
        <w:rPr>
          <w:rFonts w:ascii="Palatino Linotype" w:hAnsi="Palatino Linotype"/>
          <w:sz w:val="20"/>
          <w:szCs w:val="20"/>
          <w:u w:val="single"/>
        </w:rPr>
        <w:t xml:space="preserve"> Question</w:t>
      </w:r>
      <w:r w:rsidRPr="00A80B97">
        <w:rPr>
          <w:rFonts w:ascii="Palatino Linotype" w:hAnsi="Palatino Linotype"/>
          <w:sz w:val="20"/>
          <w:szCs w:val="20"/>
          <w:u w:val="single"/>
        </w:rPr>
        <w:t>:</w:t>
      </w:r>
      <w:r w:rsidR="00632D50" w:rsidRPr="004C1E30">
        <w:rPr>
          <w:rFonts w:ascii="Palatino Linotype" w:hAnsi="Palatino Linotype"/>
          <w:sz w:val="20"/>
          <w:szCs w:val="20"/>
        </w:rPr>
        <w:t xml:space="preserve"> </w:t>
      </w:r>
      <w:r w:rsidRPr="004C1E30">
        <w:rPr>
          <w:rFonts w:ascii="Palatino Linotype" w:hAnsi="Palatino Linotype"/>
          <w:sz w:val="20"/>
          <w:szCs w:val="20"/>
        </w:rPr>
        <w:t xml:space="preserve"> </w:t>
      </w:r>
      <w:r w:rsidR="00717298" w:rsidRPr="00A80B97">
        <w:rPr>
          <w:rFonts w:ascii="Palatino Linotype" w:hAnsi="Palatino Linotype"/>
        </w:rPr>
        <w:t>Should government subsidize remediation of low valued brownfield parcels?</w:t>
      </w:r>
    </w:p>
    <w:p w:rsidR="00717298" w:rsidRPr="00A80B97" w:rsidRDefault="00717298" w:rsidP="00217BC3">
      <w:pPr>
        <w:rPr>
          <w:rFonts w:ascii="Palatino Linotype" w:hAnsi="Palatino Linotype"/>
        </w:rPr>
      </w:pPr>
      <w:r w:rsidRPr="00A80B97">
        <w:rPr>
          <w:rFonts w:ascii="Palatino Linotype" w:hAnsi="Palatino Linotype"/>
          <w:sz w:val="20"/>
          <w:szCs w:val="20"/>
          <w:u w:val="single"/>
        </w:rPr>
        <w:t>Strategy</w:t>
      </w:r>
      <w:r w:rsidRPr="00A80B97">
        <w:rPr>
          <w:rFonts w:ascii="Palatino Linotype" w:hAnsi="Palatino Linotype"/>
          <w:sz w:val="20"/>
          <w:szCs w:val="20"/>
        </w:rPr>
        <w:t xml:space="preserve">: </w:t>
      </w:r>
      <w:r w:rsidR="00632D50">
        <w:rPr>
          <w:rFonts w:ascii="Palatino Linotype" w:hAnsi="Palatino Linotype"/>
          <w:sz w:val="20"/>
          <w:szCs w:val="20"/>
        </w:rPr>
        <w:t xml:space="preserve"> </w:t>
      </w:r>
      <w:r w:rsidRPr="00A80B97">
        <w:rPr>
          <w:rFonts w:ascii="Palatino Linotype" w:hAnsi="Palatino Linotype"/>
          <w:sz w:val="20"/>
          <w:szCs w:val="20"/>
        </w:rPr>
        <w:t>Subsidize Brownfield Redevelopment</w:t>
      </w:r>
      <w:r w:rsidR="00D748E9" w:rsidRPr="00A80B97">
        <w:rPr>
          <w:rFonts w:ascii="Palatino Linotype" w:hAnsi="Palatino Linotype"/>
          <w:sz w:val="20"/>
          <w:szCs w:val="20"/>
        </w:rPr>
        <w:t xml:space="preserve">. </w:t>
      </w:r>
      <w:r w:rsidR="00632D50">
        <w:rPr>
          <w:rFonts w:ascii="Palatino Linotype" w:hAnsi="Palatino Linotype"/>
          <w:sz w:val="20"/>
          <w:szCs w:val="20"/>
        </w:rPr>
        <w:t xml:space="preserve"> </w:t>
      </w:r>
      <w:r w:rsidRPr="00A80B97">
        <w:rPr>
          <w:rFonts w:ascii="Palatino Linotype" w:hAnsi="Palatino Linotype"/>
        </w:rPr>
        <w:t>A public subsidy is applied selectively to brownfield parcels with low land valuations to achieve parity in the real estate market.</w:t>
      </w:r>
    </w:p>
    <w:p w:rsidR="00717298" w:rsidRPr="00A80B97" w:rsidRDefault="00717298" w:rsidP="00217BC3">
      <w:pPr>
        <w:rPr>
          <w:rFonts w:ascii="Palatino Linotype" w:hAnsi="Palatino Linotype"/>
          <w:sz w:val="20"/>
          <w:szCs w:val="20"/>
          <w:u w:val="single"/>
        </w:rPr>
      </w:pPr>
      <w:r w:rsidRPr="00A80B97">
        <w:rPr>
          <w:rFonts w:ascii="Palatino Linotype" w:hAnsi="Palatino Linotype"/>
          <w:sz w:val="20"/>
          <w:szCs w:val="20"/>
          <w:u w:val="single"/>
        </w:rPr>
        <w:t>Concept map</w:t>
      </w:r>
    </w:p>
    <w:p w:rsidR="00717298" w:rsidRPr="00A33BB8" w:rsidRDefault="00717298" w:rsidP="00217BC3">
      <w:pPr>
        <w:rPr>
          <w:sz w:val="20"/>
          <w:szCs w:val="20"/>
        </w:rPr>
      </w:pPr>
      <w:r>
        <w:rPr>
          <w:noProof/>
        </w:rPr>
        <w:drawing>
          <wp:inline distT="0" distB="0" distL="0" distR="0" wp14:anchorId="50FAB248" wp14:editId="3C96599C">
            <wp:extent cx="3124200" cy="2075763"/>
            <wp:effectExtent l="19050" t="0" r="0" b="0"/>
            <wp:docPr id="3" name="Picture 1" descr="Brownfield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fields Strategy"/>
                    <pic:cNvPicPr>
                      <a:picLocks noChangeAspect="1" noChangeArrowheads="1"/>
                    </pic:cNvPicPr>
                  </pic:nvPicPr>
                  <pic:blipFill>
                    <a:blip r:embed="rId21" cstate="print"/>
                    <a:srcRect/>
                    <a:stretch>
                      <a:fillRect/>
                    </a:stretch>
                  </pic:blipFill>
                  <pic:spPr bwMode="auto">
                    <a:xfrm>
                      <a:off x="0" y="0"/>
                      <a:ext cx="3125855" cy="2076863"/>
                    </a:xfrm>
                    <a:prstGeom prst="rect">
                      <a:avLst/>
                    </a:prstGeom>
                    <a:noFill/>
                    <a:ln w="9525">
                      <a:noFill/>
                      <a:miter lim="800000"/>
                      <a:headEnd/>
                      <a:tailEnd/>
                    </a:ln>
                  </pic:spPr>
                </pic:pic>
              </a:graphicData>
            </a:graphic>
          </wp:inline>
        </w:drawing>
      </w:r>
    </w:p>
    <w:p w:rsidR="00717298" w:rsidRPr="00D748E9" w:rsidRDefault="00717298" w:rsidP="00217BC3">
      <w:pPr>
        <w:rPr>
          <w:rFonts w:ascii="Palatino Linotype" w:hAnsi="Palatino Linotype"/>
          <w:sz w:val="20"/>
          <w:szCs w:val="20"/>
          <w:u w:val="single"/>
        </w:rPr>
      </w:pPr>
      <w:r w:rsidRPr="00D748E9">
        <w:rPr>
          <w:rFonts w:ascii="Palatino Linotype" w:hAnsi="Palatino Linotype"/>
          <w:sz w:val="20"/>
          <w:szCs w:val="20"/>
          <w:u w:val="single"/>
        </w:rPr>
        <w:lastRenderedPageBreak/>
        <w:t>Units</w:t>
      </w:r>
    </w:p>
    <w:p w:rsidR="00717298" w:rsidRPr="00D748E9" w:rsidRDefault="00717298" w:rsidP="00D748E9">
      <w:pPr>
        <w:ind w:left="720"/>
        <w:rPr>
          <w:rFonts w:ascii="Palatino Linotype" w:hAnsi="Palatino Linotype" w:cs="Arial"/>
          <w:sz w:val="20"/>
          <w:szCs w:val="20"/>
        </w:rPr>
      </w:pPr>
      <w:r w:rsidRPr="00D748E9">
        <w:rPr>
          <w:rFonts w:ascii="Palatino Linotype" w:hAnsi="Palatino Linotype" w:cs="Arial"/>
          <w:sz w:val="20"/>
          <w:szCs w:val="20"/>
        </w:rPr>
        <w:t>Brownfield_count = Number of potential brownfield sites in a subzone.</w:t>
      </w:r>
    </w:p>
    <w:p w:rsidR="00717298" w:rsidRPr="00D748E9" w:rsidRDefault="00717298" w:rsidP="00D748E9">
      <w:pPr>
        <w:ind w:left="720"/>
        <w:rPr>
          <w:rFonts w:ascii="Palatino Linotype" w:hAnsi="Palatino Linotype" w:cs="Arial"/>
          <w:sz w:val="20"/>
          <w:szCs w:val="20"/>
        </w:rPr>
      </w:pPr>
      <w:r w:rsidRPr="00D748E9">
        <w:rPr>
          <w:rFonts w:ascii="Palatino Linotype" w:hAnsi="Palatino Linotype" w:cs="Arial"/>
          <w:sz w:val="20"/>
          <w:szCs w:val="20"/>
        </w:rPr>
        <w:t xml:space="preserve">Lvi = </w:t>
      </w:r>
      <w:r w:rsidR="00851E57">
        <w:rPr>
          <w:rFonts w:ascii="Palatino Linotype" w:hAnsi="Palatino Linotype" w:cs="Arial"/>
          <w:sz w:val="20"/>
          <w:szCs w:val="20"/>
        </w:rPr>
        <w:t xml:space="preserve">normalized </w:t>
      </w:r>
      <w:r w:rsidRPr="00D748E9">
        <w:rPr>
          <w:rFonts w:ascii="Palatino Linotype" w:hAnsi="Palatino Linotype" w:cs="Arial"/>
          <w:sz w:val="20"/>
          <w:szCs w:val="20"/>
        </w:rPr>
        <w:t>land value index.  The ratio of the subzone’s average land value above or below a regional mean value of zero .</w:t>
      </w:r>
    </w:p>
    <w:p w:rsidR="00717298" w:rsidRPr="00D748E9" w:rsidRDefault="00717298" w:rsidP="00D748E9">
      <w:pPr>
        <w:ind w:left="720"/>
        <w:rPr>
          <w:rFonts w:ascii="Palatino Linotype" w:hAnsi="Palatino Linotype" w:cs="Arial"/>
          <w:sz w:val="20"/>
          <w:szCs w:val="20"/>
        </w:rPr>
      </w:pPr>
      <w:r w:rsidRPr="00D748E9">
        <w:rPr>
          <w:rFonts w:ascii="Palatino Linotype" w:hAnsi="Palatino Linotype" w:cs="Arial"/>
          <w:sz w:val="20"/>
          <w:szCs w:val="20"/>
        </w:rPr>
        <w:t>Activity = the sum of households and jobs in a subzone.</w:t>
      </w:r>
    </w:p>
    <w:p w:rsidR="00717298" w:rsidRPr="00D748E9" w:rsidRDefault="00717298" w:rsidP="00217BC3">
      <w:pPr>
        <w:rPr>
          <w:rFonts w:ascii="Palatino Linotype" w:hAnsi="Palatino Linotype"/>
          <w:sz w:val="20"/>
          <w:szCs w:val="20"/>
          <w:u w:val="single"/>
        </w:rPr>
      </w:pPr>
      <w:r w:rsidRPr="00D748E9">
        <w:rPr>
          <w:rFonts w:ascii="Palatino Linotype" w:hAnsi="Palatino Linotype"/>
          <w:sz w:val="20"/>
          <w:szCs w:val="20"/>
          <w:u w:val="single"/>
        </w:rPr>
        <w:t>Assumptions</w:t>
      </w:r>
    </w:p>
    <w:p w:rsidR="00717298" w:rsidRPr="00D748E9" w:rsidRDefault="00717298" w:rsidP="00D748E9">
      <w:pPr>
        <w:ind w:left="720"/>
        <w:rPr>
          <w:rFonts w:ascii="Palatino Linotype" w:hAnsi="Palatino Linotype" w:cs="Arial"/>
          <w:sz w:val="20"/>
          <w:szCs w:val="20"/>
        </w:rPr>
      </w:pPr>
      <w:r w:rsidRPr="00D748E9">
        <w:rPr>
          <w:rFonts w:ascii="Palatino Linotype" w:hAnsi="Palatino Linotype" w:cs="Arial"/>
          <w:sz w:val="20"/>
          <w:szCs w:val="20"/>
        </w:rPr>
        <w:t xml:space="preserve">If a subzone’s 2030 forecast activity is greater than 2007 activity by a specified amount, then brownfield remediation is already assumed included in the reference forecast.  </w:t>
      </w:r>
    </w:p>
    <w:p w:rsidR="00717298" w:rsidRPr="00D748E9" w:rsidRDefault="00717298" w:rsidP="00D748E9">
      <w:pPr>
        <w:ind w:left="720"/>
        <w:rPr>
          <w:rFonts w:ascii="Palatino Linotype" w:hAnsi="Palatino Linotype" w:cs="Arial"/>
          <w:sz w:val="20"/>
          <w:szCs w:val="20"/>
        </w:rPr>
      </w:pPr>
      <w:r w:rsidRPr="00D748E9">
        <w:rPr>
          <w:rFonts w:ascii="Palatino Linotype" w:hAnsi="Palatino Linotype" w:cs="Arial"/>
          <w:sz w:val="20"/>
          <w:szCs w:val="20"/>
        </w:rPr>
        <w:t>If a subzone’s land value index is lower than the regional mean by a specified amount, the brownfields in that subzone are eligible for subsidy.</w:t>
      </w:r>
    </w:p>
    <w:p w:rsidR="00717298" w:rsidRPr="00D748E9" w:rsidRDefault="00717298" w:rsidP="00D748E9">
      <w:pPr>
        <w:ind w:left="720"/>
        <w:rPr>
          <w:rFonts w:ascii="Palatino Linotype" w:hAnsi="Palatino Linotype" w:cs="Arial"/>
          <w:sz w:val="20"/>
          <w:szCs w:val="20"/>
        </w:rPr>
      </w:pPr>
      <w:r w:rsidRPr="00D748E9">
        <w:rPr>
          <w:rFonts w:ascii="Palatino Linotype" w:hAnsi="Palatino Linotype" w:cs="Arial"/>
          <w:sz w:val="20"/>
          <w:szCs w:val="20"/>
        </w:rPr>
        <w:t xml:space="preserve">A financial analysis estimates that 3442 brownfield remediations can be subsidized by 2040. </w:t>
      </w:r>
    </w:p>
    <w:p w:rsidR="00717298" w:rsidRPr="00D748E9" w:rsidRDefault="00717298" w:rsidP="00D748E9">
      <w:pPr>
        <w:ind w:left="720"/>
        <w:rPr>
          <w:rFonts w:ascii="Palatino Linotype" w:hAnsi="Palatino Linotype" w:cs="Arial"/>
          <w:sz w:val="20"/>
          <w:szCs w:val="20"/>
        </w:rPr>
      </w:pPr>
      <w:r w:rsidRPr="00D748E9">
        <w:rPr>
          <w:rFonts w:ascii="Palatino Linotype" w:hAnsi="Palatino Linotype" w:cs="Arial"/>
          <w:sz w:val="20"/>
          <w:szCs w:val="20"/>
        </w:rPr>
        <w:t>Subzones receiving subsidies receive an “accessibility bonus” and activity is reallocated and land value adjusted accordingly.</w:t>
      </w:r>
    </w:p>
    <w:p w:rsidR="00717298" w:rsidRPr="00851E57" w:rsidRDefault="00717298" w:rsidP="00217BC3">
      <w:pPr>
        <w:rPr>
          <w:rFonts w:ascii="Palatino Linotype" w:hAnsi="Palatino Linotype"/>
          <w:sz w:val="20"/>
          <w:szCs w:val="20"/>
          <w:u w:val="single"/>
        </w:rPr>
      </w:pPr>
      <w:r w:rsidRPr="00851E57">
        <w:rPr>
          <w:rFonts w:ascii="Palatino Linotype" w:hAnsi="Palatino Linotype"/>
          <w:sz w:val="20"/>
          <w:szCs w:val="20"/>
          <w:u w:val="single"/>
        </w:rPr>
        <w:t>Method</w:t>
      </w:r>
    </w:p>
    <w:p w:rsidR="00717298" w:rsidRPr="00851E57" w:rsidRDefault="00632D50" w:rsidP="00D748E9">
      <w:pPr>
        <w:ind w:left="720"/>
        <w:rPr>
          <w:rFonts w:ascii="Palatino Linotype" w:hAnsi="Palatino Linotype"/>
          <w:sz w:val="20"/>
          <w:szCs w:val="20"/>
        </w:rPr>
      </w:pPr>
      <w:r>
        <w:rPr>
          <w:rFonts w:ascii="Palatino Linotype" w:hAnsi="Palatino Linotype"/>
          <w:sz w:val="20"/>
          <w:szCs w:val="20"/>
        </w:rPr>
        <w:t>L</w:t>
      </w:r>
      <w:r w:rsidR="00717298" w:rsidRPr="00851E57">
        <w:rPr>
          <w:rFonts w:ascii="Palatino Linotype" w:hAnsi="Palatino Linotype"/>
          <w:sz w:val="20"/>
          <w:szCs w:val="20"/>
        </w:rPr>
        <w:t xml:space="preserve">vi in selected brownfield subzones is increased by 10% per brownfield.  The change in lvi is exponentiated to represent a probability that the subzone will interact differently with the rest of the region.  This change probability is applied to transportation accessibility to predict a new level of activity, both for the brownfield subzone and those zones with which it interacts.  </w:t>
      </w:r>
    </w:p>
    <w:p w:rsidR="00717298" w:rsidRPr="00851E57" w:rsidRDefault="00717298" w:rsidP="00D748E9">
      <w:pPr>
        <w:ind w:left="720"/>
        <w:rPr>
          <w:rFonts w:ascii="Palatino Linotype" w:hAnsi="Palatino Linotype"/>
          <w:sz w:val="20"/>
          <w:szCs w:val="20"/>
        </w:rPr>
      </w:pPr>
      <w:r w:rsidRPr="00851E57">
        <w:rPr>
          <w:rFonts w:ascii="Palatino Linotype" w:hAnsi="Palatino Linotype"/>
          <w:sz w:val="20"/>
          <w:szCs w:val="20"/>
        </w:rPr>
        <w:t>Note:  even if a zone has remediated brownfields, it won’t attract new activity if it has comparatively little initial activity or interaction with the rest of the region.  The sensitivity of this interaction, however, hasn’t been calibrated, so the degree to which the effect “spreads” can be</w:t>
      </w:r>
      <w:r w:rsidR="00851E57">
        <w:rPr>
          <w:rFonts w:ascii="Palatino Linotype" w:hAnsi="Palatino Linotype"/>
          <w:sz w:val="20"/>
          <w:szCs w:val="20"/>
        </w:rPr>
        <w:t xml:space="preserve"> adjusted (e.g. currently, we are</w:t>
      </w:r>
      <w:r w:rsidRPr="00851E57">
        <w:rPr>
          <w:rFonts w:ascii="Palatino Linotype" w:hAnsi="Palatino Linotype"/>
          <w:sz w:val="20"/>
          <w:szCs w:val="20"/>
        </w:rPr>
        <w:t xml:space="preserve"> only creating about 15 new activities in McHenry County).    (</w:t>
      </w:r>
      <w:r w:rsidR="00632D50">
        <w:rPr>
          <w:rFonts w:ascii="Palatino Linotype" w:hAnsi="Palatino Linotype"/>
          <w:sz w:val="20"/>
          <w:szCs w:val="20"/>
        </w:rPr>
        <w:t>T</w:t>
      </w:r>
      <w:r w:rsidRPr="00851E57">
        <w:rPr>
          <w:rFonts w:ascii="Palatino Linotype" w:hAnsi="Palatino Linotype"/>
          <w:sz w:val="20"/>
          <w:szCs w:val="20"/>
        </w:rPr>
        <w:t>echnical:  this is parameter r2 in reallocate.by.pq.e2)</w:t>
      </w:r>
    </w:p>
    <w:p w:rsidR="00717298" w:rsidRPr="00D748E9" w:rsidRDefault="00717298" w:rsidP="00217BC3">
      <w:pPr>
        <w:rPr>
          <w:rFonts w:ascii="Palatino Linotype" w:hAnsi="Palatino Linotype"/>
          <w:sz w:val="20"/>
          <w:szCs w:val="20"/>
          <w:u w:val="single"/>
        </w:rPr>
      </w:pPr>
      <w:r w:rsidRPr="00D748E9">
        <w:rPr>
          <w:rFonts w:ascii="Palatino Linotype" w:hAnsi="Palatino Linotype"/>
          <w:sz w:val="20"/>
          <w:szCs w:val="20"/>
          <w:u w:val="single"/>
        </w:rPr>
        <w:t>Constraints</w:t>
      </w:r>
    </w:p>
    <w:p w:rsidR="00717298" w:rsidRPr="00D748E9" w:rsidRDefault="00717298" w:rsidP="00D748E9">
      <w:pPr>
        <w:ind w:left="720"/>
        <w:rPr>
          <w:rFonts w:ascii="Palatino Linotype" w:hAnsi="Palatino Linotype" w:cs="Arial"/>
          <w:sz w:val="20"/>
          <w:szCs w:val="20"/>
        </w:rPr>
      </w:pPr>
      <w:r w:rsidRPr="00D748E9">
        <w:rPr>
          <w:rFonts w:ascii="Palatino Linotype" w:hAnsi="Palatino Linotype" w:cs="Arial"/>
          <w:sz w:val="20"/>
          <w:szCs w:val="20"/>
        </w:rPr>
        <w:t>Lvi greater than +0.024 imposed to meet financial constraint.</w:t>
      </w:r>
    </w:p>
    <w:p w:rsidR="00BA38CD" w:rsidRDefault="00BA38CD" w:rsidP="00BA38CD">
      <w:bookmarkStart w:id="33" w:name="_Ref256436496"/>
      <w:bookmarkStart w:id="34" w:name="_Ref256436590"/>
      <w:bookmarkStart w:id="35" w:name="_Toc253553621"/>
      <w:bookmarkEnd w:id="29"/>
    </w:p>
    <w:p w:rsidR="00BA38CD" w:rsidRPr="00122C1C" w:rsidRDefault="00BA38CD" w:rsidP="00BA38CD">
      <w:pPr>
        <w:rPr>
          <w:rFonts w:ascii="Palatino Linotype" w:hAnsi="Palatino Linotype"/>
          <w:sz w:val="20"/>
          <w:szCs w:val="20"/>
          <w:u w:val="single"/>
        </w:rPr>
      </w:pPr>
      <w:r w:rsidRPr="00122C1C">
        <w:rPr>
          <w:rFonts w:ascii="Palatino Linotype" w:hAnsi="Palatino Linotype"/>
          <w:sz w:val="20"/>
          <w:szCs w:val="20"/>
          <w:u w:val="single"/>
        </w:rPr>
        <w:t>Calibration</w:t>
      </w:r>
    </w:p>
    <w:p w:rsidR="00BA38CD" w:rsidRPr="00122C1C" w:rsidRDefault="00BA38CD" w:rsidP="00122C1C">
      <w:pPr>
        <w:ind w:left="720"/>
        <w:rPr>
          <w:rFonts w:ascii="Palatino Linotype" w:hAnsi="Palatino Linotype"/>
          <w:sz w:val="20"/>
          <w:szCs w:val="20"/>
        </w:rPr>
      </w:pPr>
      <w:r w:rsidRPr="00122C1C">
        <w:rPr>
          <w:rFonts w:ascii="Palatino Linotype" w:hAnsi="Palatino Linotype"/>
          <w:sz w:val="20"/>
          <w:szCs w:val="20"/>
        </w:rPr>
        <w:t>There are 3441 Brownfields &lt; +0.024  lvi, the strategy analysis indicated that this would create about  69,000 additional jobs.</w:t>
      </w:r>
    </w:p>
    <w:p w:rsidR="00BA38CD" w:rsidRDefault="00BA38CD" w:rsidP="004C1E30">
      <w:pPr>
        <w:ind w:firstLine="720"/>
      </w:pPr>
      <w:r>
        <w:t>Below is an image of the function as it appears in a spreadsheet.</w:t>
      </w:r>
    </w:p>
    <w:p w:rsidR="00BA38CD" w:rsidRDefault="00BA38CD" w:rsidP="00BA38CD">
      <w:r>
        <w:rPr>
          <w:noProof/>
        </w:rPr>
        <w:drawing>
          <wp:inline distT="0" distB="0" distL="0" distR="0" wp14:anchorId="6EF88D43" wp14:editId="50502A24">
            <wp:extent cx="8229600" cy="36257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cstate="print"/>
                    <a:srcRect b="1650"/>
                    <a:stretch/>
                  </pic:blipFill>
                  <pic:spPr bwMode="auto">
                    <a:xfrm>
                      <a:off x="0" y="0"/>
                      <a:ext cx="8229600" cy="3625703"/>
                    </a:xfrm>
                    <a:prstGeom prst="rect">
                      <a:avLst/>
                    </a:prstGeom>
                    <a:noFill/>
                    <a:ln>
                      <a:noFill/>
                    </a:ln>
                    <a:extLst>
                      <a:ext uri="{53640926-AAD7-44D8-BBD7-CCE9431645EC}">
                        <a14:shadowObscured xmlns:a14="http://schemas.microsoft.com/office/drawing/2010/main"/>
                      </a:ext>
                    </a:extLst>
                  </pic:spPr>
                </pic:pic>
              </a:graphicData>
            </a:graphic>
          </wp:inline>
        </w:drawing>
      </w:r>
    </w:p>
    <w:p w:rsidR="004E0D3D" w:rsidRDefault="004E0D3D">
      <w:pPr>
        <w:rPr>
          <w:u w:val="single"/>
        </w:rPr>
      </w:pPr>
      <w:r>
        <w:rPr>
          <w:u w:val="single"/>
        </w:rPr>
        <w:br w:type="page"/>
      </w:r>
    </w:p>
    <w:p w:rsidR="00BA38CD" w:rsidRPr="00A7570B" w:rsidRDefault="00BA38CD" w:rsidP="00BA38CD">
      <w:pPr>
        <w:rPr>
          <w:u w:val="single"/>
        </w:rPr>
      </w:pPr>
      <w:r w:rsidRPr="00A7570B">
        <w:rPr>
          <w:u w:val="single"/>
        </w:rPr>
        <w:lastRenderedPageBreak/>
        <w:t>Result</w:t>
      </w:r>
    </w:p>
    <w:p w:rsidR="00BA38CD" w:rsidRDefault="00A7570B" w:rsidP="004C1E30">
      <w:pPr>
        <w:ind w:firstLine="720"/>
      </w:pPr>
      <w:r>
        <w:t xml:space="preserve">The calibration was adjusted to achieve the desired target. </w:t>
      </w:r>
    </w:p>
    <w:tbl>
      <w:tblPr>
        <w:tblW w:w="9520" w:type="dxa"/>
        <w:tblInd w:w="93" w:type="dxa"/>
        <w:tblLook w:val="0000" w:firstRow="0" w:lastRow="0" w:firstColumn="0" w:lastColumn="0" w:noHBand="0" w:noVBand="0"/>
      </w:tblPr>
      <w:tblGrid>
        <w:gridCol w:w="960"/>
        <w:gridCol w:w="960"/>
        <w:gridCol w:w="1480"/>
        <w:gridCol w:w="1480"/>
        <w:gridCol w:w="960"/>
        <w:gridCol w:w="1360"/>
        <w:gridCol w:w="1360"/>
        <w:gridCol w:w="960"/>
      </w:tblGrid>
      <w:tr w:rsidR="00BA38CD" w:rsidTr="00BA38CD">
        <w:trPr>
          <w:trHeight w:val="255"/>
        </w:trPr>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reference</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bfld</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reference</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bfld</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p>
        </w:tc>
      </w:tr>
      <w:tr w:rsidR="00BA38CD" w:rsidTr="00BA38CD">
        <w:trPr>
          <w:trHeight w:val="255"/>
        </w:trPr>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Hh</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hh</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jobs</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jobs</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w:t>
            </w:r>
          </w:p>
        </w:tc>
      </w:tr>
      <w:tr w:rsidR="00BA38CD" w:rsidTr="00BA38CD">
        <w:trPr>
          <w:trHeight w:val="255"/>
        </w:trPr>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dense</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1</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1,330,083</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1,360,656</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30,573</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1,786,848</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1,815,900</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29,052</w:t>
            </w:r>
          </w:p>
        </w:tc>
      </w:tr>
      <w:tr w:rsidR="00BA38CD" w:rsidTr="00BA38CD">
        <w:trPr>
          <w:trHeight w:val="255"/>
        </w:trPr>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high</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2</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1,347,454</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1,361,928</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14,474</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2,528,953</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2,556,536</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27,583</w:t>
            </w:r>
          </w:p>
        </w:tc>
      </w:tr>
      <w:tr w:rsidR="00BA38CD" w:rsidTr="00BA38CD">
        <w:trPr>
          <w:trHeight w:val="255"/>
        </w:trPr>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medium</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3</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554,286</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556,204</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1,918</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987,178</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995,612</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8,434</w:t>
            </w:r>
          </w:p>
        </w:tc>
      </w:tr>
      <w:tr w:rsidR="00BA38CD" w:rsidTr="00BA38CD">
        <w:trPr>
          <w:trHeight w:val="255"/>
        </w:trPr>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low</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4</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515,998</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516,322</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324</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474,160</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476,114</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1,954</w:t>
            </w:r>
          </w:p>
        </w:tc>
      </w:tr>
      <w:tr w:rsidR="00BA38CD" w:rsidTr="00BA38CD">
        <w:trPr>
          <w:trHeight w:val="255"/>
        </w:trPr>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sparse</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5</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288,708</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288,708</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339,872</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340,300</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428</w:t>
            </w:r>
          </w:p>
        </w:tc>
      </w:tr>
      <w:tr w:rsidR="00BA38CD" w:rsidTr="00BA38CD">
        <w:trPr>
          <w:trHeight w:val="255"/>
        </w:trPr>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4,036,529</w:t>
            </w:r>
          </w:p>
        </w:tc>
        <w:tc>
          <w:tcPr>
            <w:tcW w:w="148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4,083,819</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47,290</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6,117,011</w:t>
            </w:r>
          </w:p>
        </w:tc>
        <w:tc>
          <w:tcPr>
            <w:tcW w:w="13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6,184,462</w:t>
            </w:r>
          </w:p>
        </w:tc>
        <w:tc>
          <w:tcPr>
            <w:tcW w:w="960" w:type="dxa"/>
            <w:tcBorders>
              <w:top w:val="nil"/>
              <w:left w:val="nil"/>
              <w:bottom w:val="nil"/>
              <w:right w:val="nil"/>
            </w:tcBorders>
            <w:shd w:val="clear" w:color="auto" w:fill="auto"/>
            <w:noWrap/>
            <w:vAlign w:val="bottom"/>
          </w:tcPr>
          <w:p w:rsidR="00BA38CD" w:rsidRDefault="00BA38CD" w:rsidP="00A7570B">
            <w:pPr>
              <w:spacing w:after="0"/>
              <w:jc w:val="center"/>
              <w:rPr>
                <w:rFonts w:ascii="Arial" w:hAnsi="Arial" w:cs="Arial"/>
                <w:sz w:val="20"/>
                <w:szCs w:val="20"/>
              </w:rPr>
            </w:pPr>
            <w:r>
              <w:rPr>
                <w:rFonts w:ascii="Arial" w:hAnsi="Arial" w:cs="Arial"/>
                <w:sz w:val="20"/>
                <w:szCs w:val="20"/>
              </w:rPr>
              <w:t>67,451</w:t>
            </w:r>
          </w:p>
        </w:tc>
      </w:tr>
      <w:tr w:rsidR="00B87CC3" w:rsidTr="00BA38CD">
        <w:trPr>
          <w:trHeight w:val="255"/>
        </w:trPr>
        <w:tc>
          <w:tcPr>
            <w:tcW w:w="960" w:type="dxa"/>
            <w:tcBorders>
              <w:top w:val="nil"/>
              <w:left w:val="nil"/>
              <w:bottom w:val="nil"/>
              <w:right w:val="nil"/>
            </w:tcBorders>
            <w:shd w:val="clear" w:color="auto" w:fill="auto"/>
            <w:noWrap/>
            <w:vAlign w:val="bottom"/>
          </w:tcPr>
          <w:p w:rsidR="00B87CC3" w:rsidRDefault="00B87CC3" w:rsidP="00B87CC3">
            <w:pPr>
              <w:spacing w:after="0"/>
              <w:jc w:val="center"/>
              <w:rPr>
                <w:rFonts w:ascii="Arial" w:hAnsi="Arial" w:cs="Arial"/>
                <w:sz w:val="20"/>
                <w:szCs w:val="20"/>
              </w:rPr>
            </w:pPr>
          </w:p>
        </w:tc>
        <w:tc>
          <w:tcPr>
            <w:tcW w:w="960" w:type="dxa"/>
            <w:tcBorders>
              <w:top w:val="nil"/>
              <w:left w:val="nil"/>
              <w:bottom w:val="nil"/>
              <w:right w:val="nil"/>
            </w:tcBorders>
            <w:shd w:val="clear" w:color="auto" w:fill="auto"/>
            <w:noWrap/>
            <w:vAlign w:val="bottom"/>
          </w:tcPr>
          <w:p w:rsidR="00B87CC3" w:rsidRDefault="00B87CC3" w:rsidP="00A7570B">
            <w:pPr>
              <w:spacing w:after="0"/>
              <w:jc w:val="center"/>
              <w:rPr>
                <w:rFonts w:ascii="Arial" w:hAnsi="Arial" w:cs="Arial"/>
                <w:sz w:val="20"/>
                <w:szCs w:val="20"/>
              </w:rPr>
            </w:pPr>
          </w:p>
        </w:tc>
        <w:tc>
          <w:tcPr>
            <w:tcW w:w="1480" w:type="dxa"/>
            <w:tcBorders>
              <w:top w:val="nil"/>
              <w:left w:val="nil"/>
              <w:bottom w:val="nil"/>
              <w:right w:val="nil"/>
            </w:tcBorders>
            <w:shd w:val="clear" w:color="auto" w:fill="auto"/>
            <w:noWrap/>
            <w:vAlign w:val="bottom"/>
          </w:tcPr>
          <w:p w:rsidR="00B87CC3" w:rsidRDefault="00B87CC3" w:rsidP="00A7570B">
            <w:pPr>
              <w:spacing w:after="0"/>
              <w:jc w:val="center"/>
              <w:rPr>
                <w:rFonts w:ascii="Arial" w:hAnsi="Arial" w:cs="Arial"/>
                <w:sz w:val="20"/>
                <w:szCs w:val="20"/>
              </w:rPr>
            </w:pPr>
          </w:p>
        </w:tc>
        <w:tc>
          <w:tcPr>
            <w:tcW w:w="1480" w:type="dxa"/>
            <w:tcBorders>
              <w:top w:val="nil"/>
              <w:left w:val="nil"/>
              <w:bottom w:val="nil"/>
              <w:right w:val="nil"/>
            </w:tcBorders>
            <w:shd w:val="clear" w:color="auto" w:fill="auto"/>
            <w:noWrap/>
            <w:vAlign w:val="bottom"/>
          </w:tcPr>
          <w:p w:rsidR="00B87CC3" w:rsidRDefault="00B87CC3" w:rsidP="00A7570B">
            <w:pPr>
              <w:spacing w:after="0"/>
              <w:jc w:val="center"/>
              <w:rPr>
                <w:rFonts w:ascii="Arial" w:hAnsi="Arial" w:cs="Arial"/>
                <w:sz w:val="20"/>
                <w:szCs w:val="20"/>
              </w:rPr>
            </w:pPr>
          </w:p>
        </w:tc>
        <w:tc>
          <w:tcPr>
            <w:tcW w:w="960" w:type="dxa"/>
            <w:tcBorders>
              <w:top w:val="nil"/>
              <w:left w:val="nil"/>
              <w:bottom w:val="nil"/>
              <w:right w:val="nil"/>
            </w:tcBorders>
            <w:shd w:val="clear" w:color="auto" w:fill="auto"/>
            <w:noWrap/>
            <w:vAlign w:val="bottom"/>
          </w:tcPr>
          <w:p w:rsidR="00B87CC3" w:rsidRDefault="00B87CC3" w:rsidP="00A7570B">
            <w:pPr>
              <w:spacing w:after="0"/>
              <w:jc w:val="center"/>
              <w:rPr>
                <w:rFonts w:ascii="Arial" w:hAnsi="Arial" w:cs="Arial"/>
                <w:sz w:val="20"/>
                <w:szCs w:val="20"/>
              </w:rPr>
            </w:pPr>
          </w:p>
        </w:tc>
        <w:tc>
          <w:tcPr>
            <w:tcW w:w="1360" w:type="dxa"/>
            <w:tcBorders>
              <w:top w:val="nil"/>
              <w:left w:val="nil"/>
              <w:bottom w:val="nil"/>
              <w:right w:val="nil"/>
            </w:tcBorders>
            <w:shd w:val="clear" w:color="auto" w:fill="auto"/>
            <w:noWrap/>
            <w:vAlign w:val="bottom"/>
          </w:tcPr>
          <w:p w:rsidR="00B87CC3" w:rsidRDefault="00B87CC3" w:rsidP="00A7570B">
            <w:pPr>
              <w:spacing w:after="0"/>
              <w:jc w:val="center"/>
              <w:rPr>
                <w:rFonts w:ascii="Arial" w:hAnsi="Arial" w:cs="Arial"/>
                <w:sz w:val="20"/>
                <w:szCs w:val="20"/>
              </w:rPr>
            </w:pPr>
          </w:p>
        </w:tc>
        <w:tc>
          <w:tcPr>
            <w:tcW w:w="1360" w:type="dxa"/>
            <w:tcBorders>
              <w:top w:val="nil"/>
              <w:left w:val="nil"/>
              <w:bottom w:val="nil"/>
              <w:right w:val="nil"/>
            </w:tcBorders>
            <w:shd w:val="clear" w:color="auto" w:fill="auto"/>
            <w:noWrap/>
            <w:vAlign w:val="bottom"/>
          </w:tcPr>
          <w:p w:rsidR="00B87CC3" w:rsidRDefault="00B87CC3" w:rsidP="00A7570B">
            <w:pPr>
              <w:spacing w:after="0"/>
              <w:jc w:val="center"/>
              <w:rPr>
                <w:rFonts w:ascii="Arial" w:hAnsi="Arial" w:cs="Arial"/>
                <w:sz w:val="20"/>
                <w:szCs w:val="20"/>
              </w:rPr>
            </w:pPr>
          </w:p>
        </w:tc>
        <w:tc>
          <w:tcPr>
            <w:tcW w:w="960" w:type="dxa"/>
            <w:tcBorders>
              <w:top w:val="nil"/>
              <w:left w:val="nil"/>
              <w:bottom w:val="nil"/>
              <w:right w:val="nil"/>
            </w:tcBorders>
            <w:shd w:val="clear" w:color="auto" w:fill="auto"/>
            <w:noWrap/>
            <w:vAlign w:val="bottom"/>
          </w:tcPr>
          <w:p w:rsidR="00B87CC3" w:rsidRDefault="00B87CC3" w:rsidP="00A7570B">
            <w:pPr>
              <w:spacing w:after="0"/>
              <w:jc w:val="center"/>
              <w:rPr>
                <w:rFonts w:ascii="Arial" w:hAnsi="Arial" w:cs="Arial"/>
                <w:sz w:val="20"/>
                <w:szCs w:val="20"/>
              </w:rPr>
            </w:pPr>
          </w:p>
        </w:tc>
      </w:tr>
    </w:tbl>
    <w:tbl>
      <w:tblPr>
        <w:tblStyle w:val="TableGrid"/>
        <w:tblW w:w="0" w:type="auto"/>
        <w:tblLook w:val="04A0" w:firstRow="1" w:lastRow="0" w:firstColumn="1" w:lastColumn="0" w:noHBand="0" w:noVBand="1"/>
      </w:tblPr>
      <w:tblGrid>
        <w:gridCol w:w="4392"/>
        <w:gridCol w:w="4392"/>
        <w:gridCol w:w="4392"/>
      </w:tblGrid>
      <w:tr w:rsidR="00A7570B" w:rsidTr="00A7570B">
        <w:tc>
          <w:tcPr>
            <w:tcW w:w="4392" w:type="dxa"/>
          </w:tcPr>
          <w:p w:rsidR="00A7570B" w:rsidRPr="00A7570B" w:rsidRDefault="00A7570B" w:rsidP="00BA38CD">
            <w:pPr>
              <w:rPr>
                <w:sz w:val="18"/>
              </w:rPr>
            </w:pPr>
            <w:r w:rsidRPr="00A7570B">
              <w:rPr>
                <w:sz w:val="18"/>
              </w:rPr>
              <w:t>Brownfield locations</w:t>
            </w:r>
          </w:p>
          <w:p w:rsidR="00A7570B" w:rsidRDefault="00A7570B" w:rsidP="00BA38CD">
            <w:r>
              <w:rPr>
                <w:noProof/>
              </w:rPr>
              <w:drawing>
                <wp:inline distT="0" distB="0" distL="0" distR="0" wp14:anchorId="2E6D8903" wp14:editId="3B2DFB14">
                  <wp:extent cx="2362643" cy="3059955"/>
                  <wp:effectExtent l="19050" t="0" r="0" b="0"/>
                  <wp:docPr id="2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23" cstate="print"/>
                          <a:srcRect/>
                          <a:stretch>
                            <a:fillRect/>
                          </a:stretch>
                        </pic:blipFill>
                        <pic:spPr bwMode="auto">
                          <a:xfrm>
                            <a:off x="0" y="0"/>
                            <a:ext cx="2361589" cy="3058590"/>
                          </a:xfrm>
                          <a:prstGeom prst="rect">
                            <a:avLst/>
                          </a:prstGeom>
                          <a:noFill/>
                          <a:ln w="9525">
                            <a:noFill/>
                            <a:miter lim="800000"/>
                            <a:headEnd/>
                            <a:tailEnd/>
                          </a:ln>
                        </pic:spPr>
                      </pic:pic>
                    </a:graphicData>
                  </a:graphic>
                </wp:inline>
              </w:drawing>
            </w:r>
          </w:p>
        </w:tc>
        <w:tc>
          <w:tcPr>
            <w:tcW w:w="4392" w:type="dxa"/>
          </w:tcPr>
          <w:p w:rsidR="00A7570B" w:rsidRPr="00A7570B" w:rsidRDefault="00A7570B" w:rsidP="00A7570B">
            <w:pPr>
              <w:rPr>
                <w:sz w:val="16"/>
              </w:rPr>
            </w:pPr>
            <w:r w:rsidRPr="00A7570B">
              <w:rPr>
                <w:sz w:val="16"/>
              </w:rPr>
              <w:t>Numerical change in activity: strategy minus reference.</w:t>
            </w:r>
          </w:p>
          <w:p w:rsidR="00A7570B" w:rsidRDefault="00A7570B" w:rsidP="00BA38CD">
            <w:r w:rsidRPr="00A7570B">
              <w:rPr>
                <w:noProof/>
              </w:rPr>
              <w:drawing>
                <wp:inline distT="0" distB="0" distL="0" distR="0" wp14:anchorId="6E05F093" wp14:editId="74EB2E16">
                  <wp:extent cx="2373276" cy="3073728"/>
                  <wp:effectExtent l="19050" t="0" r="7974" b="0"/>
                  <wp:docPr id="2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4" cstate="print"/>
                          <a:srcRect/>
                          <a:stretch>
                            <a:fillRect/>
                          </a:stretch>
                        </pic:blipFill>
                        <pic:spPr bwMode="auto">
                          <a:xfrm>
                            <a:off x="0" y="0"/>
                            <a:ext cx="2376056" cy="3077329"/>
                          </a:xfrm>
                          <a:prstGeom prst="rect">
                            <a:avLst/>
                          </a:prstGeom>
                          <a:noFill/>
                          <a:ln w="9525">
                            <a:noFill/>
                            <a:miter lim="800000"/>
                            <a:headEnd/>
                            <a:tailEnd/>
                          </a:ln>
                        </pic:spPr>
                      </pic:pic>
                    </a:graphicData>
                  </a:graphic>
                </wp:inline>
              </w:drawing>
            </w:r>
          </w:p>
        </w:tc>
        <w:tc>
          <w:tcPr>
            <w:tcW w:w="4392" w:type="dxa"/>
          </w:tcPr>
          <w:p w:rsidR="00A7570B" w:rsidRPr="00A7570B" w:rsidRDefault="00A7570B" w:rsidP="00A7570B">
            <w:pPr>
              <w:rPr>
                <w:sz w:val="16"/>
              </w:rPr>
            </w:pPr>
            <w:r w:rsidRPr="00A7570B">
              <w:rPr>
                <w:sz w:val="16"/>
              </w:rPr>
              <w:t>Rate of change in activity: strategy divided by reference.</w:t>
            </w:r>
          </w:p>
          <w:p w:rsidR="00A7570B" w:rsidRDefault="00A7570B" w:rsidP="00BA38CD">
            <w:r w:rsidRPr="00A7570B">
              <w:rPr>
                <w:noProof/>
              </w:rPr>
              <w:drawing>
                <wp:inline distT="0" distB="0" distL="0" distR="0" wp14:anchorId="7D53F767" wp14:editId="19471C89">
                  <wp:extent cx="2447704" cy="3170121"/>
                  <wp:effectExtent l="19050" t="0" r="0" b="0"/>
                  <wp:docPr id="2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25" cstate="print"/>
                          <a:srcRect/>
                          <a:stretch>
                            <a:fillRect/>
                          </a:stretch>
                        </pic:blipFill>
                        <pic:spPr bwMode="auto">
                          <a:xfrm>
                            <a:off x="0" y="0"/>
                            <a:ext cx="2449515" cy="3172467"/>
                          </a:xfrm>
                          <a:prstGeom prst="rect">
                            <a:avLst/>
                          </a:prstGeom>
                          <a:noFill/>
                          <a:ln w="9525">
                            <a:noFill/>
                            <a:miter lim="800000"/>
                            <a:headEnd/>
                            <a:tailEnd/>
                          </a:ln>
                        </pic:spPr>
                      </pic:pic>
                    </a:graphicData>
                  </a:graphic>
                </wp:inline>
              </w:drawing>
            </w:r>
          </w:p>
        </w:tc>
      </w:tr>
    </w:tbl>
    <w:p w:rsidR="00A7570B" w:rsidRDefault="00A7570B" w:rsidP="00BA38CD"/>
    <w:p w:rsidR="00766D4D" w:rsidRDefault="003510AF" w:rsidP="00766D4D">
      <w:pPr>
        <w:pStyle w:val="Heading2"/>
      </w:pPr>
      <w:bookmarkStart w:id="36" w:name="_Ref262640458"/>
      <w:bookmarkStart w:id="37" w:name="_Toc284935557"/>
      <w:r>
        <w:lastRenderedPageBreak/>
        <w:t>Appendix C</w:t>
      </w:r>
      <w:r w:rsidR="00766D4D">
        <w:t xml:space="preserve">: </w:t>
      </w:r>
      <w:bookmarkEnd w:id="33"/>
      <w:r w:rsidR="00632D50">
        <w:t xml:space="preserve"> </w:t>
      </w:r>
      <w:r w:rsidR="005719F8">
        <w:t>Urban a</w:t>
      </w:r>
      <w:r w:rsidR="00766D4D">
        <w:t>ctivity reallocation function example</w:t>
      </w:r>
      <w:bookmarkEnd w:id="34"/>
      <w:bookmarkEnd w:id="36"/>
      <w:bookmarkEnd w:id="37"/>
    </w:p>
    <w:p w:rsidR="00A80B97" w:rsidRPr="000711BD" w:rsidRDefault="00A80B97" w:rsidP="000711BD">
      <w:pPr>
        <w:rPr>
          <w:rFonts w:ascii="Palatino Linotype" w:hAnsi="Palatino Linotype"/>
        </w:rPr>
      </w:pPr>
      <w:r w:rsidRPr="000711BD">
        <w:rPr>
          <w:rFonts w:ascii="Palatino Linotype" w:hAnsi="Palatino Linotype"/>
        </w:rPr>
        <w:t>In this example, a change in cost (access product) between two scenarios is calibrated as change in the probability of urban activity.  The access product in the reference scenario is 10.  Depending on the change in access product associated with a particular strategy this will increase or decrease activity in the strategy scenario.</w:t>
      </w:r>
    </w:p>
    <w:p w:rsidR="00766D4D" w:rsidRDefault="00766D4D" w:rsidP="00766D4D">
      <w:pPr>
        <w:rPr>
          <w:rFonts w:ascii="Courier New" w:hAnsi="Courier New" w:cs="Courier New"/>
          <w:color w:val="000000"/>
          <w:sz w:val="16"/>
          <w:szCs w:val="16"/>
        </w:rPr>
      </w:pPr>
      <w:r>
        <w:rPr>
          <w:rFonts w:ascii="Courier New" w:hAnsi="Courier New" w:cs="Courier New"/>
          <w:noProof/>
          <w:color w:val="000000"/>
          <w:sz w:val="16"/>
          <w:szCs w:val="16"/>
        </w:rPr>
        <w:drawing>
          <wp:inline distT="0" distB="0" distL="0" distR="0" wp14:anchorId="581E7FD2" wp14:editId="251A8324">
            <wp:extent cx="8039735" cy="422719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8039735" cy="4227195"/>
                    </a:xfrm>
                    <a:prstGeom prst="rect">
                      <a:avLst/>
                    </a:prstGeom>
                    <a:noFill/>
                    <a:ln w="9525">
                      <a:noFill/>
                      <a:miter lim="800000"/>
                      <a:headEnd/>
                      <a:tailEnd/>
                    </a:ln>
                  </pic:spPr>
                </pic:pic>
              </a:graphicData>
            </a:graphic>
          </wp:inline>
        </w:drawing>
      </w:r>
    </w:p>
    <w:p w:rsidR="009E49C0" w:rsidRPr="005719F8" w:rsidRDefault="0036156C" w:rsidP="005719F8">
      <w:pPr>
        <w:pStyle w:val="Heading2"/>
      </w:pPr>
      <w:bookmarkStart w:id="38" w:name="_Ref256596961"/>
      <w:r>
        <w:rPr>
          <w:rFonts w:ascii="Palatino Linotype" w:hAnsi="Palatino Linotype"/>
        </w:rPr>
        <w:br w:type="page"/>
      </w:r>
      <w:bookmarkStart w:id="39" w:name="_Ref262640509"/>
      <w:bookmarkStart w:id="40" w:name="_Toc284935558"/>
      <w:bookmarkEnd w:id="35"/>
      <w:bookmarkEnd w:id="38"/>
      <w:r w:rsidR="009E49C0" w:rsidRPr="005719F8">
        <w:lastRenderedPageBreak/>
        <w:t>Appendix D:</w:t>
      </w:r>
      <w:r w:rsidR="000711BD" w:rsidRPr="005719F8">
        <w:t xml:space="preserve">  Summary of population and employment forecasts</w:t>
      </w:r>
      <w:bookmarkEnd w:id="39"/>
      <w:bookmarkEnd w:id="40"/>
    </w:p>
    <w:p w:rsidR="000711BD" w:rsidRDefault="000711BD" w:rsidP="000711BD">
      <w:pPr>
        <w:rPr>
          <w:rFonts w:ascii="Palatino Linotype" w:hAnsi="Palatino Linotype"/>
        </w:rPr>
      </w:pPr>
      <w:r w:rsidRPr="000711BD">
        <w:rPr>
          <w:rFonts w:ascii="Palatino Linotype" w:hAnsi="Palatino Linotype"/>
        </w:rPr>
        <w:t>The following table and charts summarize the expected outcomes of the G</w:t>
      </w:r>
      <w:r w:rsidR="00632D50">
        <w:rPr>
          <w:rFonts w:ascii="Palatino Linotype" w:hAnsi="Palatino Linotype"/>
        </w:rPr>
        <w:t>O</w:t>
      </w:r>
      <w:r w:rsidRPr="000711BD">
        <w:rPr>
          <w:rFonts w:ascii="Palatino Linotype" w:hAnsi="Palatino Linotype"/>
        </w:rPr>
        <w:t xml:space="preserve"> T</w:t>
      </w:r>
      <w:r w:rsidR="00632D50">
        <w:rPr>
          <w:rFonts w:ascii="Palatino Linotype" w:hAnsi="Palatino Linotype"/>
        </w:rPr>
        <w:t>O</w:t>
      </w:r>
      <w:r w:rsidRPr="000711BD">
        <w:rPr>
          <w:rFonts w:ascii="Palatino Linotype" w:hAnsi="Palatino Linotype"/>
        </w:rPr>
        <w:t xml:space="preserve"> 2040 Preferred Scenario in comparison to </w:t>
      </w:r>
      <w:r w:rsidR="00EC48E3">
        <w:rPr>
          <w:rFonts w:ascii="Palatino Linotype" w:hAnsi="Palatino Linotype"/>
        </w:rPr>
        <w:t>base</w:t>
      </w:r>
      <w:r w:rsidRPr="000711BD">
        <w:rPr>
          <w:rFonts w:ascii="Palatino Linotype" w:hAnsi="Palatino Linotype"/>
        </w:rPr>
        <w:t xml:space="preserve"> conditions.  These data are used for a variety of regional land use and transportation planning efforts.  </w:t>
      </w:r>
    </w:p>
    <w:p w:rsidR="000711BD" w:rsidRPr="009A421B" w:rsidRDefault="000711BD" w:rsidP="000711BD">
      <w:pPr>
        <w:pStyle w:val="Caption"/>
        <w:rPr>
          <w:rFonts w:ascii="Palatino Linotype" w:hAnsi="Palatino Linotype"/>
        </w:rPr>
      </w:pPr>
      <w:bookmarkStart w:id="41" w:name="_Toc262193785"/>
      <w:bookmarkStart w:id="42" w:name="_Toc284935627"/>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4</w:t>
      </w:r>
      <w:r w:rsidR="003344CA">
        <w:rPr>
          <w:noProof/>
        </w:rPr>
        <w:fldChar w:fldCharType="end"/>
      </w:r>
      <w:r w:rsidRPr="009A421B">
        <w:t xml:space="preserve">: </w:t>
      </w:r>
      <w:r w:rsidR="001F1569">
        <w:t xml:space="preserve"> </w:t>
      </w:r>
      <w:r w:rsidRPr="009A421B">
        <w:t>Summary of population and employment forecasts</w:t>
      </w:r>
      <w:bookmarkEnd w:id="41"/>
      <w:bookmarkEnd w:id="42"/>
    </w:p>
    <w:p w:rsidR="00122C1C" w:rsidRDefault="006A5DF0">
      <w:pPr>
        <w:rPr>
          <w:rFonts w:ascii="Palatino Linotype" w:hAnsi="Palatino Linotype"/>
        </w:rPr>
      </w:pPr>
      <w:r w:rsidRPr="003C1086">
        <w:rPr>
          <w:rFonts w:ascii="Palatino Linotype" w:hAnsi="Palatino Linotype"/>
        </w:rPr>
        <w:object w:dxaOrig="22321" w:dyaOrig="11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334.5pt" o:ole="">
            <v:imagedata r:id="rId27" o:title=""/>
          </v:shape>
          <o:OLEObject Type="Embed" ProgID="Excel.Sheet.12" ShapeID="_x0000_i1025" DrawAspect="Content" ObjectID="_1434805483" r:id="rId28"/>
        </w:object>
      </w:r>
    </w:p>
    <w:p w:rsidR="00000079" w:rsidRDefault="00000079" w:rsidP="00607BBC">
      <w:pPr>
        <w:pStyle w:val="Heading2"/>
        <w:rPr>
          <w:rFonts w:ascii="Palatino Linotype" w:hAnsi="Palatino Linotype"/>
        </w:rPr>
      </w:pPr>
      <w:bookmarkStart w:id="43" w:name="_Ref262640680"/>
      <w:bookmarkStart w:id="44" w:name="_Toc284935559"/>
      <w:r>
        <w:rPr>
          <w:rFonts w:ascii="Palatino Linotype" w:hAnsi="Palatino Linotype"/>
        </w:rPr>
        <w:lastRenderedPageBreak/>
        <w:t xml:space="preserve">Appendix E: </w:t>
      </w:r>
      <w:r w:rsidR="00632D50">
        <w:rPr>
          <w:rFonts w:ascii="Palatino Linotype" w:hAnsi="Palatino Linotype"/>
        </w:rPr>
        <w:t xml:space="preserve"> </w:t>
      </w:r>
      <w:r>
        <w:rPr>
          <w:rFonts w:ascii="Palatino Linotype" w:hAnsi="Palatino Linotype"/>
        </w:rPr>
        <w:t>Forecast validation checks</w:t>
      </w:r>
      <w:bookmarkEnd w:id="43"/>
      <w:bookmarkEnd w:id="44"/>
    </w:p>
    <w:p w:rsidR="00000079" w:rsidRDefault="00000079" w:rsidP="00000079">
      <w:pPr>
        <w:rPr>
          <w:rFonts w:ascii="Palatino Linotype" w:hAnsi="Palatino Linotype"/>
        </w:rPr>
      </w:pPr>
      <w:r>
        <w:rPr>
          <w:rFonts w:ascii="Palatino Linotype" w:hAnsi="Palatino Linotype"/>
        </w:rPr>
        <w:t xml:space="preserve">The final preferred scenario forecast socioeconomic file was subjected to a number of tests for purposes of quality assurance and reasonableness.  There is, of course, no absolute certainty in forecast results.  Ongoing examination by dataset users </w:t>
      </w:r>
      <w:r w:rsidR="00B71867">
        <w:rPr>
          <w:rFonts w:ascii="Palatino Linotype" w:hAnsi="Palatino Linotype"/>
        </w:rPr>
        <w:t xml:space="preserve">assists CMAP in </w:t>
      </w:r>
      <w:r w:rsidR="007E063A">
        <w:rPr>
          <w:rFonts w:ascii="Palatino Linotype" w:hAnsi="Palatino Linotype"/>
        </w:rPr>
        <w:t>improving forecast validity</w:t>
      </w:r>
      <w:r>
        <w:rPr>
          <w:rFonts w:ascii="Palatino Linotype" w:hAnsi="Palatino Linotype"/>
        </w:rPr>
        <w:t>.</w:t>
      </w:r>
    </w:p>
    <w:p w:rsidR="00000079" w:rsidRDefault="00082EDD" w:rsidP="00000079">
      <w:pPr>
        <w:pStyle w:val="Heading3"/>
        <w:rPr>
          <w:rFonts w:ascii="Palatino Linotype" w:hAnsi="Palatino Linotype"/>
        </w:rPr>
      </w:pPr>
      <w:bookmarkStart w:id="45" w:name="_Toc284935560"/>
      <w:r>
        <w:rPr>
          <w:rFonts w:ascii="Palatino Linotype" w:hAnsi="Palatino Linotype"/>
        </w:rPr>
        <w:t xml:space="preserve">E1. </w:t>
      </w:r>
      <w:r w:rsidR="00632D50">
        <w:rPr>
          <w:rFonts w:ascii="Palatino Linotype" w:hAnsi="Palatino Linotype"/>
        </w:rPr>
        <w:t xml:space="preserve"> </w:t>
      </w:r>
      <w:r w:rsidR="00000079" w:rsidRPr="00754047">
        <w:rPr>
          <w:rFonts w:ascii="Palatino Linotype" w:hAnsi="Palatino Linotype"/>
        </w:rPr>
        <w:t>Local employment validation</w:t>
      </w:r>
      <w:bookmarkEnd w:id="45"/>
      <w:r w:rsidR="00000079">
        <w:rPr>
          <w:rFonts w:ascii="Palatino Linotype" w:hAnsi="Palatino Linotype"/>
        </w:rPr>
        <w:t xml:space="preserve"> </w:t>
      </w:r>
    </w:p>
    <w:p w:rsidR="00000079" w:rsidRPr="00D748E9" w:rsidRDefault="00000079" w:rsidP="00000079">
      <w:pPr>
        <w:rPr>
          <w:rFonts w:ascii="Palatino Linotype" w:hAnsi="Palatino Linotype"/>
        </w:rPr>
      </w:pPr>
      <w:r w:rsidRPr="00D748E9">
        <w:rPr>
          <w:rFonts w:ascii="Palatino Linotype" w:hAnsi="Palatino Linotype"/>
        </w:rPr>
        <w:t xml:space="preserve">In forecasting retail employment at the local level, a common rule of thumb is that local (i.e. retail) employment should be about 30% of </w:t>
      </w:r>
      <w:r>
        <w:rPr>
          <w:rFonts w:ascii="Palatino Linotype" w:hAnsi="Palatino Linotype"/>
        </w:rPr>
        <w:t>local</w:t>
      </w:r>
      <w:r w:rsidRPr="00D748E9">
        <w:rPr>
          <w:rFonts w:ascii="Palatino Linotype" w:hAnsi="Palatino Linotype"/>
        </w:rPr>
        <w:t xml:space="preserve"> population.</w:t>
      </w:r>
      <w:r w:rsidR="00632D50">
        <w:rPr>
          <w:rFonts w:ascii="Palatino Linotype" w:hAnsi="Palatino Linotype"/>
        </w:rPr>
        <w:t xml:space="preserve"> </w:t>
      </w:r>
      <w:r w:rsidRPr="00D748E9">
        <w:rPr>
          <w:rFonts w:ascii="Palatino Linotype" w:hAnsi="Palatino Linotype"/>
        </w:rPr>
        <w:t xml:space="preserve"> This might be accomplished by simply summing population and retail employment at the township level and checking the proportions.</w:t>
      </w:r>
      <w:r w:rsidR="00632D50">
        <w:rPr>
          <w:rFonts w:ascii="Palatino Linotype" w:hAnsi="Palatino Linotype"/>
        </w:rPr>
        <w:t xml:space="preserve"> </w:t>
      </w:r>
      <w:r w:rsidRPr="00D748E9">
        <w:rPr>
          <w:rFonts w:ascii="Palatino Linotype" w:hAnsi="Palatino Linotype"/>
        </w:rPr>
        <w:t xml:space="preserve"> This method, however, will introduce discontinuities across township boundaries. </w:t>
      </w:r>
      <w:r w:rsidR="00632D50">
        <w:rPr>
          <w:rFonts w:ascii="Palatino Linotype" w:hAnsi="Palatino Linotype"/>
        </w:rPr>
        <w:t xml:space="preserve"> </w:t>
      </w:r>
      <w:r w:rsidRPr="00D748E9">
        <w:rPr>
          <w:rFonts w:ascii="Palatino Linotype" w:hAnsi="Palatino Linotype"/>
        </w:rPr>
        <w:t xml:space="preserve">One should also expect to find legitimate "hotspots" across the region where retail is concentrated (e.g. CBD, Woodfield, etc.). </w:t>
      </w:r>
    </w:p>
    <w:p w:rsidR="00B71867" w:rsidRDefault="00000079" w:rsidP="00B71867">
      <w:pPr>
        <w:rPr>
          <w:rFonts w:ascii="Palatino Linotype" w:hAnsi="Palatino Linotype"/>
        </w:rPr>
      </w:pPr>
      <w:r w:rsidRPr="00D748E9">
        <w:rPr>
          <w:rFonts w:ascii="Palatino Linotype" w:hAnsi="Palatino Linotype"/>
        </w:rPr>
        <w:t xml:space="preserve">A distance-based method was developed as an alternative to overcome the township discontinuity problem and provide a quick visual check of local job/population ratios when evaluating and interpreting scenario-based forecasts: </w:t>
      </w:r>
      <w:r w:rsidR="00632D50">
        <w:rPr>
          <w:rFonts w:ascii="Palatino Linotype" w:hAnsi="Palatino Linotype"/>
        </w:rPr>
        <w:t xml:space="preserve"> </w:t>
      </w:r>
      <w:r w:rsidRPr="00D748E9">
        <w:rPr>
          <w:rFonts w:ascii="Palatino Linotype" w:hAnsi="Palatino Linotype"/>
        </w:rPr>
        <w:t>1. Home-based other trip productions are a proxy for household population.</w:t>
      </w:r>
      <w:r w:rsidR="00632D50">
        <w:rPr>
          <w:rFonts w:ascii="Palatino Linotype" w:hAnsi="Palatino Linotype"/>
        </w:rPr>
        <w:t xml:space="preserve"> </w:t>
      </w:r>
      <w:r w:rsidRPr="00D748E9">
        <w:rPr>
          <w:rFonts w:ascii="Palatino Linotype" w:hAnsi="Palatino Linotype"/>
        </w:rPr>
        <w:t xml:space="preserve"> 2. Home-based other trip attractions are a proxy for retail job attractions. </w:t>
      </w:r>
      <w:r w:rsidR="00632D50">
        <w:rPr>
          <w:rFonts w:ascii="Palatino Linotype" w:hAnsi="Palatino Linotype"/>
        </w:rPr>
        <w:t xml:space="preserve"> </w:t>
      </w:r>
      <w:r w:rsidRPr="00D748E9">
        <w:rPr>
          <w:rFonts w:ascii="Palatino Linotype" w:hAnsi="Palatino Linotype"/>
        </w:rPr>
        <w:t xml:space="preserve">3. Matrix math is used to identify the total number of HBO attractions within X miles of a single subzone's HBO productions. </w:t>
      </w:r>
      <w:r w:rsidR="00B71867">
        <w:rPr>
          <w:rFonts w:ascii="Palatino Linotype" w:hAnsi="Palatino Linotype"/>
        </w:rPr>
        <w:t xml:space="preserve"> The log (ln) of productions in each subzone was divided by the log (ln) of the attractions within 10 miles.  This value was mapped.</w:t>
      </w:r>
    </w:p>
    <w:p w:rsidR="00B71867" w:rsidRDefault="00B71867" w:rsidP="00B71867">
      <w:pPr>
        <w:rPr>
          <w:rFonts w:ascii="Palatino Linotype" w:hAnsi="Palatino Linotype"/>
        </w:rPr>
      </w:pPr>
      <w:r>
        <w:rPr>
          <w:rFonts w:ascii="Palatino Linotype" w:hAnsi="Palatino Linotype"/>
        </w:rPr>
        <w:t>In comparing the base 2010 condition with the 2040 forecast, it does not appear that the preferred distribution of households and jobs significantly changes between the two.  Therefore, no adjustment to retail job forecasts is needed.</w:t>
      </w:r>
      <w:r>
        <w:rPr>
          <w:rFonts w:ascii="Palatino Linotype" w:hAnsi="Palatino Linotype"/>
        </w:rPr>
        <w:br w:type="page"/>
      </w:r>
    </w:p>
    <w:p w:rsidR="00B71867" w:rsidRPr="009A421B" w:rsidRDefault="00B71867" w:rsidP="00B71867">
      <w:pPr>
        <w:pStyle w:val="Caption"/>
        <w:rPr>
          <w:rFonts w:cstheme="minorHAnsi"/>
        </w:rPr>
      </w:pPr>
      <w:bookmarkStart w:id="46" w:name="_Toc262193786"/>
      <w:bookmarkStart w:id="47" w:name="_Toc284935628"/>
      <w:r w:rsidRPr="009A421B">
        <w:rPr>
          <w:rFonts w:cstheme="minorHAnsi"/>
        </w:rPr>
        <w:lastRenderedPageBreak/>
        <w:t xml:space="preserve">Figure </w:t>
      </w:r>
      <w:r w:rsidR="000505E1" w:rsidRPr="009A421B">
        <w:rPr>
          <w:rFonts w:cstheme="minorHAnsi"/>
        </w:rPr>
        <w:fldChar w:fldCharType="begin"/>
      </w:r>
      <w:r w:rsidR="000505E1" w:rsidRPr="009A421B">
        <w:rPr>
          <w:rFonts w:cstheme="minorHAnsi"/>
        </w:rPr>
        <w:instrText xml:space="preserve"> SEQ Figure \* ARABIC </w:instrText>
      </w:r>
      <w:r w:rsidR="000505E1" w:rsidRPr="009A421B">
        <w:rPr>
          <w:rFonts w:cstheme="minorHAnsi"/>
        </w:rPr>
        <w:fldChar w:fldCharType="separate"/>
      </w:r>
      <w:r w:rsidR="009B0830" w:rsidRPr="009A421B">
        <w:rPr>
          <w:rFonts w:cstheme="minorHAnsi"/>
          <w:noProof/>
        </w:rPr>
        <w:t>5</w:t>
      </w:r>
      <w:r w:rsidR="000505E1" w:rsidRPr="009A421B">
        <w:rPr>
          <w:rFonts w:cstheme="minorHAnsi"/>
          <w:noProof/>
        </w:rPr>
        <w:fldChar w:fldCharType="end"/>
      </w:r>
      <w:r w:rsidRPr="009A421B">
        <w:rPr>
          <w:rFonts w:cstheme="minorHAnsi"/>
        </w:rPr>
        <w:t>:</w:t>
      </w:r>
      <w:r w:rsidR="001F1569">
        <w:rPr>
          <w:rFonts w:cstheme="minorHAnsi"/>
        </w:rPr>
        <w:t xml:space="preserve"> </w:t>
      </w:r>
      <w:r w:rsidRPr="009A421B">
        <w:rPr>
          <w:rFonts w:cstheme="minorHAnsi"/>
        </w:rPr>
        <w:t xml:space="preserve"> 2010 assessment of local retail</w:t>
      </w:r>
      <w:bookmarkEnd w:id="46"/>
      <w:bookmarkEnd w:id="47"/>
    </w:p>
    <w:tbl>
      <w:tblPr>
        <w:tblStyle w:val="TableGrid"/>
        <w:tblW w:w="13360" w:type="dxa"/>
        <w:tblLook w:val="04A0" w:firstRow="1" w:lastRow="0" w:firstColumn="1" w:lastColumn="0" w:noHBand="0" w:noVBand="1"/>
      </w:tblPr>
      <w:tblGrid>
        <w:gridCol w:w="6680"/>
        <w:gridCol w:w="6680"/>
      </w:tblGrid>
      <w:tr w:rsidR="00B71867" w:rsidRPr="00B71867" w:rsidTr="00B71867">
        <w:trPr>
          <w:trHeight w:val="7820"/>
        </w:trPr>
        <w:tc>
          <w:tcPr>
            <w:tcW w:w="6680" w:type="dxa"/>
          </w:tcPr>
          <w:p w:rsidR="00B71867" w:rsidRDefault="00B71867" w:rsidP="00B71867">
            <w:pPr>
              <w:rPr>
                <w:rFonts w:ascii="Palatino Linotype" w:hAnsi="Palatino Linotype"/>
                <w:sz w:val="14"/>
              </w:rPr>
            </w:pPr>
            <w:r w:rsidRPr="00B71867">
              <w:rPr>
                <w:rFonts w:ascii="Palatino Linotype" w:hAnsi="Palatino Linotype"/>
                <w:sz w:val="14"/>
              </w:rPr>
              <w:t>trip attractions within 10 miles of the production zone (ln)</w:t>
            </w:r>
          </w:p>
          <w:p w:rsidR="00B71867" w:rsidRPr="00B71867" w:rsidRDefault="00B71867" w:rsidP="00B71867">
            <w:pPr>
              <w:rPr>
                <w:rFonts w:ascii="Palatino Linotype" w:hAnsi="Palatino Linotype"/>
                <w:sz w:val="14"/>
              </w:rPr>
            </w:pPr>
            <w:r w:rsidRPr="00B71867">
              <w:rPr>
                <w:rFonts w:ascii="Palatino Linotype" w:hAnsi="Palatino Linotype"/>
                <w:noProof/>
                <w:sz w:val="14"/>
              </w:rPr>
              <w:drawing>
                <wp:inline distT="0" distB="0" distL="0" distR="0" wp14:anchorId="0525CC7B" wp14:editId="16223A57">
                  <wp:extent cx="3362103" cy="4355081"/>
                  <wp:effectExtent l="19050" t="0" r="0" b="0"/>
                  <wp:docPr id="29" name="Picture 1" descr="C:\Users\kwie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es\Desktop\Untitled.jpg"/>
                          <pic:cNvPicPr>
                            <a:picLocks noChangeAspect="1" noChangeArrowheads="1"/>
                          </pic:cNvPicPr>
                        </pic:nvPicPr>
                        <pic:blipFill>
                          <a:blip r:embed="rId29" cstate="print"/>
                          <a:srcRect/>
                          <a:stretch>
                            <a:fillRect/>
                          </a:stretch>
                        </pic:blipFill>
                        <pic:spPr bwMode="auto">
                          <a:xfrm>
                            <a:off x="0" y="0"/>
                            <a:ext cx="3369581" cy="4364767"/>
                          </a:xfrm>
                          <a:prstGeom prst="rect">
                            <a:avLst/>
                          </a:prstGeom>
                          <a:noFill/>
                          <a:ln w="9525">
                            <a:noFill/>
                            <a:miter lim="800000"/>
                            <a:headEnd/>
                            <a:tailEnd/>
                          </a:ln>
                        </pic:spPr>
                      </pic:pic>
                    </a:graphicData>
                  </a:graphic>
                </wp:inline>
              </w:drawing>
            </w:r>
          </w:p>
        </w:tc>
        <w:tc>
          <w:tcPr>
            <w:tcW w:w="6680" w:type="dxa"/>
          </w:tcPr>
          <w:p w:rsidR="00B71867" w:rsidRDefault="00B71867" w:rsidP="00B71867">
            <w:pPr>
              <w:rPr>
                <w:rFonts w:ascii="Palatino Linotype" w:hAnsi="Palatino Linotype"/>
                <w:sz w:val="14"/>
              </w:rPr>
            </w:pPr>
            <w:r w:rsidRPr="00B71867">
              <w:rPr>
                <w:rFonts w:ascii="Palatino Linotype" w:hAnsi="Palatino Linotype"/>
                <w:sz w:val="14"/>
              </w:rPr>
              <w:t xml:space="preserve">trip productions/attr w/in 10 miles (ln). </w:t>
            </w:r>
            <w:r>
              <w:rPr>
                <w:rFonts w:ascii="Palatino Linotype" w:hAnsi="Palatino Linotype"/>
                <w:sz w:val="14"/>
              </w:rPr>
              <w:br/>
            </w:r>
            <w:r w:rsidRPr="00B71867">
              <w:rPr>
                <w:rFonts w:ascii="Palatino Linotype" w:hAnsi="Palatino Linotype"/>
                <w:sz w:val="14"/>
              </w:rPr>
              <w:t xml:space="preserve">red is no households, </w:t>
            </w:r>
            <w:r>
              <w:rPr>
                <w:rFonts w:ascii="Palatino Linotype" w:hAnsi="Palatino Linotype"/>
                <w:sz w:val="14"/>
              </w:rPr>
              <w:t>orange/</w:t>
            </w:r>
            <w:r w:rsidRPr="00B71867">
              <w:rPr>
                <w:rFonts w:ascii="Palatino Linotype" w:hAnsi="Palatino Linotype"/>
                <w:sz w:val="14"/>
              </w:rPr>
              <w:t>yellow is marginal, white is o.k</w:t>
            </w:r>
          </w:p>
          <w:p w:rsidR="00B71867" w:rsidRPr="00B71867" w:rsidRDefault="00B71867" w:rsidP="00B71867">
            <w:pPr>
              <w:rPr>
                <w:rFonts w:ascii="Palatino Linotype" w:hAnsi="Palatino Linotype"/>
                <w:sz w:val="14"/>
              </w:rPr>
            </w:pPr>
            <w:r w:rsidRPr="00B71867">
              <w:rPr>
                <w:rFonts w:ascii="Palatino Linotype" w:hAnsi="Palatino Linotype"/>
                <w:noProof/>
                <w:sz w:val="14"/>
              </w:rPr>
              <w:drawing>
                <wp:inline distT="0" distB="0" distL="0" distR="0" wp14:anchorId="3A24E32A" wp14:editId="342B87A4">
                  <wp:extent cx="3433084" cy="4444409"/>
                  <wp:effectExtent l="19050" t="0" r="0" b="0"/>
                  <wp:docPr id="30" name="Picture 7" descr="C:\Users\kwies\Desktop\local_r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wies\Desktop\local_retail.jpg"/>
                          <pic:cNvPicPr>
                            <a:picLocks noChangeAspect="1" noChangeArrowheads="1"/>
                          </pic:cNvPicPr>
                        </pic:nvPicPr>
                        <pic:blipFill>
                          <a:blip r:embed="rId30" cstate="print"/>
                          <a:srcRect/>
                          <a:stretch>
                            <a:fillRect/>
                          </a:stretch>
                        </pic:blipFill>
                        <pic:spPr bwMode="auto">
                          <a:xfrm>
                            <a:off x="0" y="0"/>
                            <a:ext cx="3437744" cy="4450442"/>
                          </a:xfrm>
                          <a:prstGeom prst="rect">
                            <a:avLst/>
                          </a:prstGeom>
                          <a:noFill/>
                          <a:ln w="9525">
                            <a:noFill/>
                            <a:miter lim="800000"/>
                            <a:headEnd/>
                            <a:tailEnd/>
                          </a:ln>
                        </pic:spPr>
                      </pic:pic>
                    </a:graphicData>
                  </a:graphic>
                </wp:inline>
              </w:drawing>
            </w:r>
          </w:p>
        </w:tc>
      </w:tr>
    </w:tbl>
    <w:p w:rsidR="00412F3D" w:rsidRPr="009A421B" w:rsidRDefault="00B71867" w:rsidP="00412F3D">
      <w:pPr>
        <w:pStyle w:val="Caption"/>
        <w:rPr>
          <w:rFonts w:cstheme="minorHAnsi"/>
        </w:rPr>
      </w:pPr>
      <w:r>
        <w:rPr>
          <w:rFonts w:ascii="Palatino Linotype" w:hAnsi="Palatino Linotype"/>
        </w:rPr>
        <w:br w:type="page"/>
      </w:r>
      <w:bookmarkStart w:id="48" w:name="_Toc262193787"/>
      <w:bookmarkStart w:id="49" w:name="_Toc284935629"/>
      <w:r w:rsidR="00412F3D" w:rsidRPr="009A421B">
        <w:rPr>
          <w:rFonts w:cstheme="minorHAnsi"/>
        </w:rPr>
        <w:lastRenderedPageBreak/>
        <w:t xml:space="preserve">Figure </w:t>
      </w:r>
      <w:r w:rsidR="000505E1" w:rsidRPr="009A421B">
        <w:rPr>
          <w:rFonts w:cstheme="minorHAnsi"/>
        </w:rPr>
        <w:fldChar w:fldCharType="begin"/>
      </w:r>
      <w:r w:rsidR="000505E1" w:rsidRPr="009A421B">
        <w:rPr>
          <w:rFonts w:cstheme="minorHAnsi"/>
        </w:rPr>
        <w:instrText xml:space="preserve"> SEQ Figure \* ARABIC </w:instrText>
      </w:r>
      <w:r w:rsidR="000505E1" w:rsidRPr="009A421B">
        <w:rPr>
          <w:rFonts w:cstheme="minorHAnsi"/>
        </w:rPr>
        <w:fldChar w:fldCharType="separate"/>
      </w:r>
      <w:r w:rsidR="009B0830" w:rsidRPr="009A421B">
        <w:rPr>
          <w:rFonts w:cstheme="minorHAnsi"/>
          <w:noProof/>
        </w:rPr>
        <w:t>6</w:t>
      </w:r>
      <w:r w:rsidR="000505E1" w:rsidRPr="009A421B">
        <w:rPr>
          <w:rFonts w:cstheme="minorHAnsi"/>
          <w:noProof/>
        </w:rPr>
        <w:fldChar w:fldCharType="end"/>
      </w:r>
      <w:r w:rsidR="00412F3D" w:rsidRPr="009A421B">
        <w:rPr>
          <w:rFonts w:cstheme="minorHAnsi"/>
        </w:rPr>
        <w:t xml:space="preserve">: </w:t>
      </w:r>
      <w:r w:rsidR="001F1569">
        <w:rPr>
          <w:rFonts w:cstheme="minorHAnsi"/>
        </w:rPr>
        <w:t xml:space="preserve"> </w:t>
      </w:r>
      <w:r w:rsidR="00412F3D" w:rsidRPr="009A421B">
        <w:rPr>
          <w:rFonts w:cstheme="minorHAnsi"/>
        </w:rPr>
        <w:t>2040 preferred scenario assessment of local retail</w:t>
      </w:r>
      <w:bookmarkEnd w:id="48"/>
      <w:bookmarkEnd w:id="49"/>
    </w:p>
    <w:tbl>
      <w:tblPr>
        <w:tblStyle w:val="TableGrid"/>
        <w:tblW w:w="13360" w:type="dxa"/>
        <w:tblLook w:val="04A0" w:firstRow="1" w:lastRow="0" w:firstColumn="1" w:lastColumn="0" w:noHBand="0" w:noVBand="1"/>
      </w:tblPr>
      <w:tblGrid>
        <w:gridCol w:w="6680"/>
        <w:gridCol w:w="6680"/>
      </w:tblGrid>
      <w:tr w:rsidR="00412F3D" w:rsidRPr="00B71867" w:rsidTr="000E32A1">
        <w:trPr>
          <w:trHeight w:val="7820"/>
        </w:trPr>
        <w:tc>
          <w:tcPr>
            <w:tcW w:w="6680" w:type="dxa"/>
          </w:tcPr>
          <w:p w:rsidR="00412F3D" w:rsidRDefault="00412F3D" w:rsidP="000E32A1">
            <w:pPr>
              <w:rPr>
                <w:rFonts w:ascii="Palatino Linotype" w:hAnsi="Palatino Linotype"/>
                <w:sz w:val="14"/>
              </w:rPr>
            </w:pPr>
            <w:r w:rsidRPr="00B71867">
              <w:rPr>
                <w:rFonts w:ascii="Palatino Linotype" w:hAnsi="Palatino Linotype"/>
                <w:sz w:val="14"/>
              </w:rPr>
              <w:t>trip attractions within 10 miles of the production zone (ln)</w:t>
            </w:r>
          </w:p>
          <w:p w:rsidR="00412F3D" w:rsidRPr="00B71867" w:rsidRDefault="00B87CC3" w:rsidP="000E32A1">
            <w:pPr>
              <w:rPr>
                <w:rFonts w:ascii="Palatino Linotype" w:hAnsi="Palatino Linotype"/>
                <w:sz w:val="14"/>
              </w:rPr>
            </w:pPr>
            <w:r>
              <w:rPr>
                <w:rFonts w:ascii="Palatino Linotype" w:hAnsi="Palatino Linotype"/>
                <w:noProof/>
              </w:rPr>
              <w:t>-</w:t>
            </w:r>
            <w:r w:rsidR="00412F3D">
              <w:rPr>
                <w:rFonts w:ascii="Palatino Linotype" w:hAnsi="Palatino Linotype"/>
                <w:noProof/>
              </w:rPr>
              <w:drawing>
                <wp:inline distT="0" distB="0" distL="0" distR="0" wp14:anchorId="04FF8010" wp14:editId="58E0A55A">
                  <wp:extent cx="3603436" cy="4667693"/>
                  <wp:effectExtent l="19050" t="0" r="0" b="0"/>
                  <wp:docPr id="33" name="Picture 2" descr="C:\Users\kwie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ies\Desktop\Untitled.jpg"/>
                          <pic:cNvPicPr>
                            <a:picLocks noChangeAspect="1" noChangeArrowheads="1"/>
                          </pic:cNvPicPr>
                        </pic:nvPicPr>
                        <pic:blipFill>
                          <a:blip r:embed="rId31" cstate="print"/>
                          <a:srcRect/>
                          <a:stretch>
                            <a:fillRect/>
                          </a:stretch>
                        </pic:blipFill>
                        <pic:spPr bwMode="auto">
                          <a:xfrm>
                            <a:off x="0" y="0"/>
                            <a:ext cx="3610159" cy="4676401"/>
                          </a:xfrm>
                          <a:prstGeom prst="rect">
                            <a:avLst/>
                          </a:prstGeom>
                          <a:noFill/>
                          <a:ln w="9525">
                            <a:noFill/>
                            <a:miter lim="800000"/>
                            <a:headEnd/>
                            <a:tailEnd/>
                          </a:ln>
                        </pic:spPr>
                      </pic:pic>
                    </a:graphicData>
                  </a:graphic>
                </wp:inline>
              </w:drawing>
            </w:r>
          </w:p>
        </w:tc>
        <w:tc>
          <w:tcPr>
            <w:tcW w:w="6680" w:type="dxa"/>
          </w:tcPr>
          <w:p w:rsidR="00412F3D" w:rsidRDefault="00412F3D" w:rsidP="000E32A1">
            <w:pPr>
              <w:rPr>
                <w:rFonts w:ascii="Palatino Linotype" w:hAnsi="Palatino Linotype"/>
                <w:sz w:val="14"/>
              </w:rPr>
            </w:pPr>
            <w:r w:rsidRPr="00B71867">
              <w:rPr>
                <w:rFonts w:ascii="Palatino Linotype" w:hAnsi="Palatino Linotype"/>
                <w:sz w:val="14"/>
              </w:rPr>
              <w:t xml:space="preserve">trip productions/attr w/in 10 miles (ln). </w:t>
            </w:r>
            <w:r>
              <w:rPr>
                <w:rFonts w:ascii="Palatino Linotype" w:hAnsi="Palatino Linotype"/>
                <w:sz w:val="14"/>
              </w:rPr>
              <w:br/>
            </w:r>
            <w:r w:rsidRPr="00B71867">
              <w:rPr>
                <w:rFonts w:ascii="Palatino Linotype" w:hAnsi="Palatino Linotype"/>
                <w:sz w:val="14"/>
              </w:rPr>
              <w:t xml:space="preserve">red is no households, </w:t>
            </w:r>
            <w:r>
              <w:rPr>
                <w:rFonts w:ascii="Palatino Linotype" w:hAnsi="Palatino Linotype"/>
                <w:sz w:val="14"/>
              </w:rPr>
              <w:t>orange/</w:t>
            </w:r>
            <w:r w:rsidRPr="00B71867">
              <w:rPr>
                <w:rFonts w:ascii="Palatino Linotype" w:hAnsi="Palatino Linotype"/>
                <w:sz w:val="14"/>
              </w:rPr>
              <w:t>yellow is marginal, white is o.k</w:t>
            </w:r>
          </w:p>
          <w:p w:rsidR="00412F3D" w:rsidRPr="00B71867" w:rsidRDefault="00412F3D" w:rsidP="000E32A1">
            <w:pPr>
              <w:rPr>
                <w:rFonts w:ascii="Palatino Linotype" w:hAnsi="Palatino Linotype"/>
                <w:sz w:val="14"/>
              </w:rPr>
            </w:pPr>
            <w:r>
              <w:rPr>
                <w:rFonts w:ascii="Palatino Linotype" w:hAnsi="Palatino Linotype"/>
                <w:noProof/>
              </w:rPr>
              <w:drawing>
                <wp:inline distT="0" distB="0" distL="0" distR="0" wp14:anchorId="3D3448BC" wp14:editId="19D72260">
                  <wp:extent cx="3553489" cy="4600285"/>
                  <wp:effectExtent l="19050" t="0" r="8861" b="0"/>
                  <wp:docPr id="34" name="Picture 6" descr="C:\Users\kwies\Desktop\local_r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ies\Desktop\local_retail.jpg"/>
                          <pic:cNvPicPr>
                            <a:picLocks noChangeAspect="1" noChangeArrowheads="1"/>
                          </pic:cNvPicPr>
                        </pic:nvPicPr>
                        <pic:blipFill>
                          <a:blip r:embed="rId32" cstate="print"/>
                          <a:srcRect/>
                          <a:stretch>
                            <a:fillRect/>
                          </a:stretch>
                        </pic:blipFill>
                        <pic:spPr bwMode="auto">
                          <a:xfrm>
                            <a:off x="0" y="0"/>
                            <a:ext cx="3557715" cy="4605756"/>
                          </a:xfrm>
                          <a:prstGeom prst="rect">
                            <a:avLst/>
                          </a:prstGeom>
                          <a:noFill/>
                          <a:ln w="9525">
                            <a:noFill/>
                            <a:miter lim="800000"/>
                            <a:headEnd/>
                            <a:tailEnd/>
                          </a:ln>
                        </pic:spPr>
                      </pic:pic>
                    </a:graphicData>
                  </a:graphic>
                </wp:inline>
              </w:drawing>
            </w:r>
          </w:p>
        </w:tc>
      </w:tr>
    </w:tbl>
    <w:p w:rsidR="00412F3D" w:rsidRDefault="00412F3D" w:rsidP="00B71867">
      <w:pPr>
        <w:rPr>
          <w:rFonts w:ascii="Palatino Linotype" w:hAnsi="Palatino Linotype"/>
        </w:rPr>
      </w:pPr>
    </w:p>
    <w:p w:rsidR="00B71867" w:rsidRPr="00197AA7" w:rsidRDefault="00B71867" w:rsidP="00B71867">
      <w:pPr>
        <w:rPr>
          <w:rFonts w:ascii="Palatino Linotype" w:hAnsi="Palatino Linotype"/>
        </w:rPr>
      </w:pPr>
    </w:p>
    <w:p w:rsidR="00CB3918" w:rsidRDefault="00082EDD" w:rsidP="00000079">
      <w:pPr>
        <w:pStyle w:val="Heading3"/>
      </w:pPr>
      <w:bookmarkStart w:id="50" w:name="_Toc284935561"/>
      <w:r>
        <w:lastRenderedPageBreak/>
        <w:t>E2</w:t>
      </w:r>
      <w:r w:rsidR="005B76AB">
        <w:t>.</w:t>
      </w:r>
      <w:r w:rsidR="00632D50">
        <w:t xml:space="preserve"> </w:t>
      </w:r>
      <w:r>
        <w:t xml:space="preserve"> Population </w:t>
      </w:r>
      <w:r w:rsidR="005B76AB">
        <w:t>d</w:t>
      </w:r>
      <w:r w:rsidR="00000079">
        <w:t>ensity saturation</w:t>
      </w:r>
      <w:bookmarkEnd w:id="50"/>
    </w:p>
    <w:p w:rsidR="00000079" w:rsidRDefault="00000079" w:rsidP="00000079">
      <w:pPr>
        <w:rPr>
          <w:rFonts w:ascii="Palatino Linotype" w:hAnsi="Palatino Linotype"/>
        </w:rPr>
      </w:pPr>
      <w:r w:rsidRPr="00D748E9">
        <w:rPr>
          <w:rFonts w:ascii="Palatino Linotype" w:hAnsi="Palatino Linotype"/>
        </w:rPr>
        <w:t>In forecasting population at the local level, a common rule of thumb is that that a conversion from rural to urban population densities follows</w:t>
      </w:r>
      <w:r w:rsidR="007E063A">
        <w:rPr>
          <w:rFonts w:ascii="Palatino Linotype" w:hAnsi="Palatino Linotype"/>
        </w:rPr>
        <w:t xml:space="preserve"> a recognizable 3-stage cycle: 1</w:t>
      </w:r>
      <w:r w:rsidRPr="00D748E9">
        <w:rPr>
          <w:rFonts w:ascii="Palatino Linotype" w:hAnsi="Palatino Linotype"/>
        </w:rPr>
        <w:t>) Stable low density, 2) a steady increase in density over a short period, and 3) stable urban density.  When graphed this results in a distinctive S-shaped growth curve, the upper limit of which corresponds to the prevailing type of development: primarily urban or suburban.</w:t>
      </w:r>
    </w:p>
    <w:p w:rsidR="00000079" w:rsidRPr="00D748E9" w:rsidRDefault="00000079" w:rsidP="00000079">
      <w:pPr>
        <w:rPr>
          <w:rFonts w:ascii="Palatino Linotype" w:hAnsi="Palatino Linotype"/>
        </w:rPr>
      </w:pPr>
      <w:r w:rsidRPr="00D748E9">
        <w:rPr>
          <w:rFonts w:ascii="Palatino Linotype" w:hAnsi="Palatino Linotype"/>
        </w:rPr>
        <w:t>The preferred scenario was examined over four types of township</w:t>
      </w:r>
      <w:r>
        <w:rPr>
          <w:rFonts w:ascii="Palatino Linotype" w:hAnsi="Palatino Linotype"/>
        </w:rPr>
        <w:t>s</w:t>
      </w:r>
      <w:r w:rsidRPr="00D748E9">
        <w:rPr>
          <w:rFonts w:ascii="Palatino Linotype" w:hAnsi="Palatino Linotype"/>
        </w:rPr>
        <w:t xml:space="preserve"> representing different positions in the density evolution and prevailing density.</w:t>
      </w:r>
      <w:r w:rsidR="009E043D">
        <w:rPr>
          <w:rFonts w:ascii="Palatino Linotype" w:hAnsi="Palatino Linotype"/>
        </w:rPr>
        <w:t xml:space="preserve">  CMAP acknowledges Suhail al Chalabi of the al Chalabi Group for preparing the historical graphs shown below.</w:t>
      </w:r>
    </w:p>
    <w:p w:rsidR="009E202D" w:rsidRDefault="009E202D">
      <w:pPr>
        <w:rPr>
          <w:rFonts w:ascii="Palatino Linotype" w:hAnsi="Palatino Linotype"/>
        </w:rPr>
      </w:pPr>
      <w:r>
        <w:rPr>
          <w:rFonts w:ascii="Palatino Linotype" w:hAnsi="Palatino Linotype"/>
        </w:rPr>
        <w:br w:type="page"/>
      </w:r>
    </w:p>
    <w:p w:rsidR="00000079" w:rsidRPr="00000079" w:rsidRDefault="00000079" w:rsidP="009E202D">
      <w:pPr>
        <w:rPr>
          <w:rFonts w:ascii="Palatino Linotype" w:hAnsi="Palatino Linotype"/>
        </w:rPr>
      </w:pPr>
      <w:r w:rsidRPr="00000079">
        <w:rPr>
          <w:rFonts w:ascii="Palatino Linotype" w:hAnsi="Palatino Linotype"/>
        </w:rPr>
        <w:lastRenderedPageBreak/>
        <w:t>The Near West Community Area in Chicago represents the preferred scenario’s strategy effects on a disinvested community that has experienced sharp declines in population density, but is forecast to continue rebounding with added emphasis on preservation and reinvestment strategies.</w:t>
      </w:r>
    </w:p>
    <w:p w:rsidR="00000079" w:rsidRPr="009A421B" w:rsidRDefault="00000079" w:rsidP="00000079">
      <w:pPr>
        <w:pStyle w:val="Caption"/>
        <w:ind w:left="360"/>
        <w:rPr>
          <w:rFonts w:ascii="Palatino Linotype" w:hAnsi="Palatino Linotype"/>
        </w:rPr>
      </w:pPr>
      <w:bookmarkStart w:id="51" w:name="_Toc262193788"/>
      <w:bookmarkStart w:id="52" w:name="_Toc284935630"/>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7</w:t>
      </w:r>
      <w:r w:rsidR="003344CA">
        <w:rPr>
          <w:noProof/>
        </w:rPr>
        <w:fldChar w:fldCharType="end"/>
      </w:r>
      <w:r w:rsidRPr="009A421B">
        <w:t>:  Preferred scenario strategy effects on a disinvested community in the urban core</w:t>
      </w:r>
      <w:bookmarkEnd w:id="51"/>
      <w:bookmarkEnd w:id="52"/>
    </w:p>
    <w:p w:rsidR="00000079" w:rsidRPr="00000079" w:rsidRDefault="00000079" w:rsidP="00000079">
      <w:pPr>
        <w:ind w:left="360"/>
        <w:rPr>
          <w:rFonts w:ascii="Palatino Linotype" w:hAnsi="Palatino Linotype"/>
        </w:rPr>
      </w:pPr>
      <w:r w:rsidRPr="00C432A6">
        <w:rPr>
          <w:noProof/>
        </w:rPr>
        <w:drawing>
          <wp:inline distT="0" distB="0" distL="0" distR="0" wp14:anchorId="6D4E7AB0" wp14:editId="76C5AC84">
            <wp:extent cx="7974227" cy="280086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E202D" w:rsidRDefault="009E202D">
      <w:pPr>
        <w:rPr>
          <w:rFonts w:ascii="Palatino Linotype" w:hAnsi="Palatino Linotype"/>
        </w:rPr>
      </w:pPr>
      <w:r>
        <w:rPr>
          <w:rFonts w:ascii="Palatino Linotype" w:hAnsi="Palatino Linotype"/>
        </w:rPr>
        <w:br w:type="page"/>
      </w:r>
    </w:p>
    <w:p w:rsidR="00000079" w:rsidRPr="00000079" w:rsidRDefault="00000079" w:rsidP="00000079">
      <w:pPr>
        <w:ind w:left="360"/>
        <w:rPr>
          <w:rFonts w:ascii="Palatino Linotype" w:hAnsi="Palatino Linotype"/>
        </w:rPr>
      </w:pPr>
      <w:r w:rsidRPr="00000079">
        <w:rPr>
          <w:rFonts w:ascii="Palatino Linotype" w:hAnsi="Palatino Linotype"/>
        </w:rPr>
        <w:lastRenderedPageBreak/>
        <w:t>The Kenwood/Hyde Park Community Area in Chicago represents the preferred scenario’s strategy effects on a mature community with a stable population and high land values.</w:t>
      </w:r>
    </w:p>
    <w:p w:rsidR="00000079" w:rsidRPr="009A421B" w:rsidRDefault="00000079" w:rsidP="00000079">
      <w:pPr>
        <w:pStyle w:val="Caption"/>
        <w:ind w:left="360"/>
        <w:rPr>
          <w:rFonts w:ascii="Palatino Linotype" w:hAnsi="Palatino Linotype"/>
        </w:rPr>
      </w:pPr>
      <w:bookmarkStart w:id="53" w:name="_Toc262193789"/>
      <w:bookmarkStart w:id="54" w:name="_Toc284935631"/>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8</w:t>
      </w:r>
      <w:r w:rsidR="003344CA">
        <w:rPr>
          <w:noProof/>
        </w:rPr>
        <w:fldChar w:fldCharType="end"/>
      </w:r>
      <w:r w:rsidRPr="009A421B">
        <w:t>:</w:t>
      </w:r>
      <w:r w:rsidR="001F1569">
        <w:t xml:space="preserve"> </w:t>
      </w:r>
      <w:r w:rsidRPr="009A421B">
        <w:t xml:space="preserve"> Preferred scenario strategy effects on a stable community in the urban core</w:t>
      </w:r>
      <w:bookmarkEnd w:id="53"/>
      <w:bookmarkEnd w:id="54"/>
    </w:p>
    <w:p w:rsidR="00000079" w:rsidRPr="00000079" w:rsidRDefault="00000079" w:rsidP="00000079">
      <w:pPr>
        <w:ind w:left="360"/>
        <w:rPr>
          <w:rFonts w:ascii="Palatino Linotype" w:hAnsi="Palatino Linotype"/>
        </w:rPr>
      </w:pPr>
      <w:r w:rsidRPr="00744B7F">
        <w:rPr>
          <w:noProof/>
        </w:rPr>
        <w:drawing>
          <wp:inline distT="0" distB="0" distL="0" distR="0" wp14:anchorId="18784A74" wp14:editId="59CCF96A">
            <wp:extent cx="7400261" cy="2775097"/>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E32A1" w:rsidRDefault="000E32A1">
      <w:pPr>
        <w:rPr>
          <w:rFonts w:ascii="Palatino Linotype" w:hAnsi="Palatino Linotype"/>
        </w:rPr>
      </w:pPr>
      <w:r>
        <w:rPr>
          <w:rFonts w:ascii="Palatino Linotype" w:hAnsi="Palatino Linotype"/>
        </w:rPr>
        <w:br w:type="page"/>
      </w:r>
    </w:p>
    <w:p w:rsidR="00000079" w:rsidRDefault="00000079" w:rsidP="00000079">
      <w:pPr>
        <w:ind w:left="360"/>
        <w:rPr>
          <w:rFonts w:ascii="Palatino Linotype" w:hAnsi="Palatino Linotype"/>
        </w:rPr>
      </w:pPr>
      <w:r w:rsidRPr="00000079">
        <w:rPr>
          <w:rFonts w:ascii="Palatino Linotype" w:hAnsi="Palatino Linotype"/>
        </w:rPr>
        <w:lastRenderedPageBreak/>
        <w:t>Naperville Township in southwest DuPage County represents the preferred scenario’s strategy effects on a robust suburban community with a strong employment core and good transit access.  The township experienced rapid growth in the past 30 years and its growth would, in the absence of preferred strategies related to transit oriented development, soon plateau.  In the preferred scenario, however, Naperville Township continues its climb past this plateau in response to strategies that encourage more compact development.</w:t>
      </w:r>
    </w:p>
    <w:p w:rsidR="00000079" w:rsidRPr="009A421B" w:rsidRDefault="00000079" w:rsidP="00000079">
      <w:pPr>
        <w:pStyle w:val="Caption"/>
        <w:rPr>
          <w:rFonts w:ascii="Palatino Linotype" w:hAnsi="Palatino Linotype"/>
        </w:rPr>
      </w:pPr>
      <w:bookmarkStart w:id="55" w:name="_Toc262193790"/>
      <w:bookmarkStart w:id="56" w:name="_Toc284935632"/>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9</w:t>
      </w:r>
      <w:r w:rsidR="003344CA">
        <w:rPr>
          <w:noProof/>
        </w:rPr>
        <w:fldChar w:fldCharType="end"/>
      </w:r>
      <w:r w:rsidRPr="009A421B">
        <w:t>:</w:t>
      </w:r>
      <w:r w:rsidR="001F1569">
        <w:t xml:space="preserve"> </w:t>
      </w:r>
      <w:r w:rsidRPr="009A421B">
        <w:t xml:space="preserve"> Preferred Scenario Strategy effects on a dense suburban community with high transit accessibility</w:t>
      </w:r>
      <w:bookmarkEnd w:id="55"/>
      <w:bookmarkEnd w:id="56"/>
    </w:p>
    <w:p w:rsidR="00000079" w:rsidRDefault="00000079" w:rsidP="00000079">
      <w:pPr>
        <w:rPr>
          <w:rFonts w:ascii="Palatino Linotype" w:hAnsi="Palatino Linotype"/>
        </w:rPr>
      </w:pPr>
      <w:r w:rsidRPr="00F557A2">
        <w:rPr>
          <w:rFonts w:ascii="Palatino Linotype" w:hAnsi="Palatino Linotype"/>
          <w:noProof/>
        </w:rPr>
        <w:drawing>
          <wp:inline distT="0" distB="0" distL="0" distR="0" wp14:anchorId="278936F8" wp14:editId="560E8B4E">
            <wp:extent cx="8188411" cy="2800865"/>
            <wp:effectExtent l="0" t="0" r="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00079" w:rsidRDefault="00000079" w:rsidP="00000079">
      <w:pPr>
        <w:ind w:left="360"/>
        <w:rPr>
          <w:rFonts w:ascii="Palatino Linotype" w:hAnsi="Palatino Linotype"/>
        </w:rPr>
      </w:pPr>
    </w:p>
    <w:p w:rsidR="00000079" w:rsidRDefault="00000079">
      <w:pPr>
        <w:rPr>
          <w:rFonts w:ascii="Palatino Linotype" w:hAnsi="Palatino Linotype"/>
        </w:rPr>
      </w:pPr>
      <w:r>
        <w:rPr>
          <w:rFonts w:ascii="Palatino Linotype" w:hAnsi="Palatino Linotype"/>
        </w:rPr>
        <w:br w:type="page"/>
      </w:r>
    </w:p>
    <w:p w:rsidR="00000079" w:rsidRPr="00000079" w:rsidRDefault="00000079" w:rsidP="00000079">
      <w:pPr>
        <w:ind w:left="360"/>
        <w:rPr>
          <w:rFonts w:ascii="Palatino Linotype" w:hAnsi="Palatino Linotype"/>
        </w:rPr>
      </w:pPr>
    </w:p>
    <w:p w:rsidR="00000079" w:rsidRDefault="00000079" w:rsidP="00000079">
      <w:pPr>
        <w:ind w:left="360"/>
        <w:rPr>
          <w:rFonts w:ascii="Palatino Linotype" w:hAnsi="Palatino Linotype"/>
        </w:rPr>
      </w:pPr>
      <w:r w:rsidRPr="00000079">
        <w:rPr>
          <w:rFonts w:ascii="Palatino Linotype" w:hAnsi="Palatino Linotype"/>
        </w:rPr>
        <w:t>Wayne Township in northwest DuPage County represents the preferred scenario’s strategy effects on a low density suburban community that emphasizes preservation of open space.  The township experience rapid growth over the past 30 years and its growth would, in the absence of preferred strategies related to open space, continue to climb.  In the preferred scenario, however, Wayne Township grows only moderately and remains less dense than its suburban counterparts.</w:t>
      </w:r>
    </w:p>
    <w:p w:rsidR="00000079" w:rsidRPr="009A421B" w:rsidRDefault="00000079" w:rsidP="00000079">
      <w:pPr>
        <w:pStyle w:val="Caption"/>
        <w:rPr>
          <w:rFonts w:ascii="Palatino Linotype" w:hAnsi="Palatino Linotype"/>
        </w:rPr>
      </w:pPr>
      <w:bookmarkStart w:id="57" w:name="_Toc262193791"/>
      <w:bookmarkStart w:id="58" w:name="_Toc284935633"/>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10</w:t>
      </w:r>
      <w:r w:rsidR="003344CA">
        <w:rPr>
          <w:noProof/>
        </w:rPr>
        <w:fldChar w:fldCharType="end"/>
      </w:r>
      <w:r w:rsidRPr="009A421B">
        <w:t xml:space="preserve">: </w:t>
      </w:r>
      <w:r w:rsidR="001F1569">
        <w:t xml:space="preserve"> </w:t>
      </w:r>
      <w:r w:rsidRPr="009A421B">
        <w:t>Prefe</w:t>
      </w:r>
      <w:r w:rsidR="00777235" w:rsidRPr="009A421B">
        <w:t>r</w:t>
      </w:r>
      <w:r w:rsidRPr="009A421B">
        <w:t>red scenario strategy effects on a low density suburban community with little transit accessibility</w:t>
      </w:r>
      <w:bookmarkEnd w:id="57"/>
      <w:bookmarkEnd w:id="58"/>
    </w:p>
    <w:p w:rsidR="00000079" w:rsidRDefault="00000079" w:rsidP="00000079">
      <w:pPr>
        <w:ind w:left="360"/>
        <w:rPr>
          <w:rFonts w:ascii="Palatino Linotype" w:hAnsi="Palatino Linotype"/>
        </w:rPr>
      </w:pPr>
      <w:r w:rsidRPr="00000079">
        <w:rPr>
          <w:rFonts w:ascii="Palatino Linotype" w:hAnsi="Palatino Linotype"/>
          <w:noProof/>
        </w:rPr>
        <w:drawing>
          <wp:inline distT="0" distB="0" distL="0" distR="0" wp14:anchorId="0703068E" wp14:editId="1A1F398C">
            <wp:extent cx="7718855" cy="2677297"/>
            <wp:effectExtent l="0" t="0" r="0" b="0"/>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B3918" w:rsidRPr="00000079" w:rsidRDefault="00CB3918" w:rsidP="00000079">
      <w:pPr>
        <w:ind w:left="360"/>
        <w:rPr>
          <w:rFonts w:ascii="Palatino Linotype" w:hAnsi="Palatino Linotype"/>
        </w:rPr>
      </w:pPr>
    </w:p>
    <w:p w:rsidR="00082EDD" w:rsidRDefault="00082EDD">
      <w:pPr>
        <w:rPr>
          <w:rFonts w:asciiTheme="majorHAnsi" w:eastAsiaTheme="majorEastAsia" w:hAnsiTheme="majorHAnsi" w:cstheme="majorBidi"/>
          <w:b/>
          <w:bCs/>
          <w:color w:val="4F81BD" w:themeColor="accent1"/>
        </w:rPr>
      </w:pPr>
      <w:r>
        <w:br w:type="page"/>
      </w:r>
    </w:p>
    <w:p w:rsidR="00ED5FC9" w:rsidRDefault="00082EDD" w:rsidP="00082EDD">
      <w:pPr>
        <w:pStyle w:val="Heading3"/>
      </w:pPr>
      <w:bookmarkStart w:id="59" w:name="_Toc284935562"/>
      <w:r>
        <w:lastRenderedPageBreak/>
        <w:t xml:space="preserve">E3. </w:t>
      </w:r>
      <w:r w:rsidR="00632D50">
        <w:t xml:space="preserve"> </w:t>
      </w:r>
      <w:r w:rsidR="00CB3918">
        <w:t>Households compared to parcel counts</w:t>
      </w:r>
      <w:bookmarkEnd w:id="59"/>
    </w:p>
    <w:p w:rsidR="000E32A1" w:rsidRDefault="000E32A1" w:rsidP="000E32A1">
      <w:pPr>
        <w:rPr>
          <w:rFonts w:ascii="Palatino Linotype" w:hAnsi="Palatino Linotype"/>
        </w:rPr>
      </w:pPr>
      <w:r>
        <w:rPr>
          <w:rFonts w:ascii="Palatino Linotype" w:hAnsi="Palatino Linotype"/>
        </w:rPr>
        <w:t>The statistical method used to estimate the reallocation of urban activity will not capture subzones with zero activity in the base year and will typically underestimate localize</w:t>
      </w:r>
      <w:r w:rsidR="007C4C15">
        <w:rPr>
          <w:rFonts w:ascii="Palatino Linotype" w:hAnsi="Palatino Linotype"/>
        </w:rPr>
        <w:t>d</w:t>
      </w:r>
      <w:r>
        <w:rPr>
          <w:rFonts w:ascii="Palatino Linotype" w:hAnsi="Palatino Linotype"/>
        </w:rPr>
        <w:t xml:space="preserve"> development booms wherein entire tracts of rural land are converted in a single transaction.  </w:t>
      </w:r>
      <w:r w:rsidR="00CB3918">
        <w:rPr>
          <w:rFonts w:ascii="Palatino Linotype" w:hAnsi="Palatino Linotype"/>
        </w:rPr>
        <w:t xml:space="preserve">This exercise compares the count of available residential parcels to the </w:t>
      </w:r>
      <w:r>
        <w:rPr>
          <w:rFonts w:ascii="Palatino Linotype" w:hAnsi="Palatino Linotype"/>
        </w:rPr>
        <w:t>estimated number of households to correct mis-estimation with empirical data where possible.</w:t>
      </w:r>
      <w:r w:rsidRPr="000E32A1">
        <w:rPr>
          <w:rFonts w:ascii="Palatino Linotype" w:hAnsi="Palatino Linotype"/>
        </w:rPr>
        <w:t xml:space="preserve"> </w:t>
      </w:r>
    </w:p>
    <w:p w:rsidR="000E32A1" w:rsidRPr="00CB3918" w:rsidRDefault="000E32A1" w:rsidP="000E32A1">
      <w:pPr>
        <w:rPr>
          <w:rFonts w:ascii="Palatino Linotype" w:hAnsi="Palatino Linotype"/>
        </w:rPr>
      </w:pPr>
      <w:r>
        <w:rPr>
          <w:rFonts w:ascii="Palatino Linotype" w:hAnsi="Palatino Linotype"/>
        </w:rPr>
        <w:t xml:space="preserve">In this exercise, we identify those subzones where </w:t>
      </w:r>
      <w:r w:rsidRPr="00CB3918">
        <w:rPr>
          <w:rFonts w:ascii="Palatino Linotype" w:hAnsi="Palatino Linotype"/>
        </w:rPr>
        <w:t>land has been platted</w:t>
      </w:r>
      <w:r>
        <w:rPr>
          <w:rFonts w:ascii="Palatino Linotype" w:hAnsi="Palatino Linotype"/>
        </w:rPr>
        <w:t xml:space="preserve"> (i.e. residential parcels appear in the County Assessor’s file)</w:t>
      </w:r>
      <w:r w:rsidRPr="00CB3918">
        <w:rPr>
          <w:rFonts w:ascii="Palatino Linotype" w:hAnsi="Palatino Linotype"/>
        </w:rPr>
        <w:t>, but that the household estimating procedure did not detect sufficient growth for that subzone.</w:t>
      </w:r>
    </w:p>
    <w:p w:rsidR="000E32A1" w:rsidRPr="000E32A1" w:rsidRDefault="000E32A1" w:rsidP="000E32A1">
      <w:pPr>
        <w:pStyle w:val="Caption"/>
        <w:rPr>
          <w:rFonts w:ascii="Palatino Linotype" w:hAnsi="Palatino Linotype"/>
          <w:b w:val="0"/>
          <w:bCs w:val="0"/>
          <w:color w:val="auto"/>
          <w:sz w:val="22"/>
          <w:szCs w:val="22"/>
        </w:rPr>
      </w:pPr>
      <w:r>
        <w:rPr>
          <w:rFonts w:ascii="Palatino Linotype" w:hAnsi="Palatino Linotype"/>
          <w:b w:val="0"/>
          <w:bCs w:val="0"/>
          <w:color w:val="auto"/>
          <w:sz w:val="22"/>
          <w:szCs w:val="22"/>
        </w:rPr>
        <w:t>In the figure below, r</w:t>
      </w:r>
      <w:r w:rsidR="00CB3918" w:rsidRPr="000E32A1">
        <w:rPr>
          <w:rFonts w:ascii="Palatino Linotype" w:hAnsi="Palatino Linotype"/>
          <w:b w:val="0"/>
          <w:bCs w:val="0"/>
          <w:color w:val="auto"/>
          <w:sz w:val="22"/>
          <w:szCs w:val="22"/>
        </w:rPr>
        <w:t>ed indicates that the parcel count exceeds the household estimate by greater than 100.</w:t>
      </w:r>
      <w:r w:rsidRPr="000E32A1">
        <w:rPr>
          <w:rFonts w:ascii="Palatino Linotype" w:hAnsi="Palatino Linotype"/>
          <w:b w:val="0"/>
          <w:bCs w:val="0"/>
          <w:color w:val="auto"/>
          <w:sz w:val="22"/>
          <w:szCs w:val="22"/>
        </w:rPr>
        <w:t xml:space="preserve"> </w:t>
      </w:r>
      <w:r w:rsidR="007C4C15">
        <w:rPr>
          <w:rFonts w:ascii="Palatino Linotype" w:hAnsi="Palatino Linotype"/>
          <w:b w:val="0"/>
          <w:bCs w:val="0"/>
          <w:color w:val="auto"/>
          <w:sz w:val="22"/>
          <w:szCs w:val="22"/>
        </w:rPr>
        <w:t xml:space="preserve"> </w:t>
      </w:r>
      <w:r w:rsidR="00CB3918" w:rsidRPr="000E32A1">
        <w:rPr>
          <w:rFonts w:ascii="Palatino Linotype" w:hAnsi="Palatino Linotype"/>
          <w:b w:val="0"/>
          <w:bCs w:val="0"/>
          <w:color w:val="auto"/>
          <w:sz w:val="22"/>
          <w:szCs w:val="22"/>
        </w:rPr>
        <w:t>Blue indicates that estimated households exceed the parcel county by greater than 100.</w:t>
      </w:r>
      <w:r w:rsidRPr="000E32A1">
        <w:rPr>
          <w:rFonts w:ascii="Palatino Linotype" w:hAnsi="Palatino Linotype"/>
          <w:b w:val="0"/>
          <w:bCs w:val="0"/>
          <w:color w:val="auto"/>
          <w:sz w:val="22"/>
          <w:szCs w:val="22"/>
        </w:rPr>
        <w:t xml:space="preserve"> </w:t>
      </w:r>
    </w:p>
    <w:p w:rsidR="000E32A1" w:rsidRPr="009A421B" w:rsidRDefault="000E32A1" w:rsidP="000E32A1">
      <w:pPr>
        <w:pStyle w:val="Caption"/>
      </w:pPr>
      <w:bookmarkStart w:id="60" w:name="_Toc262193792"/>
      <w:bookmarkStart w:id="61" w:name="_Toc284935634"/>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11</w:t>
      </w:r>
      <w:r w:rsidR="003344CA">
        <w:rPr>
          <w:noProof/>
        </w:rPr>
        <w:fldChar w:fldCharType="end"/>
      </w:r>
      <w:r w:rsidR="0068303E" w:rsidRPr="009A421B">
        <w:t xml:space="preserve">: </w:t>
      </w:r>
      <w:r w:rsidR="001F1569">
        <w:t xml:space="preserve"> </w:t>
      </w:r>
      <w:r w:rsidRPr="009A421B">
        <w:t>2010 households minus current count of residential parcels.</w:t>
      </w:r>
      <w:bookmarkEnd w:id="60"/>
      <w:bookmarkEnd w:id="61"/>
    </w:p>
    <w:p w:rsidR="00CB3918" w:rsidRDefault="00CB3918" w:rsidP="00082EDD">
      <w:pPr>
        <w:pStyle w:val="Caption"/>
        <w:rPr>
          <w:rFonts w:ascii="Palatino Linotype" w:hAnsi="Palatino Linotype"/>
        </w:rPr>
      </w:pPr>
      <w:r>
        <w:rPr>
          <w:noProof/>
        </w:rPr>
        <w:drawing>
          <wp:inline distT="0" distB="0" distL="0" distR="0" wp14:anchorId="3AEF8009" wp14:editId="110F9A63">
            <wp:extent cx="4744336" cy="3051379"/>
            <wp:effectExtent l="19050" t="0" r="0" b="0"/>
            <wp:docPr id="13" name="Picture 1" descr="C:\Users\kwies\Desktop\prfrd_par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es\Desktop\prfrd_parcel.jpg"/>
                    <pic:cNvPicPr>
                      <a:picLocks noChangeAspect="1" noChangeArrowheads="1"/>
                    </pic:cNvPicPr>
                  </pic:nvPicPr>
                  <pic:blipFill>
                    <a:blip r:embed="rId37" cstate="print"/>
                    <a:srcRect/>
                    <a:stretch>
                      <a:fillRect/>
                    </a:stretch>
                  </pic:blipFill>
                  <pic:spPr bwMode="auto">
                    <a:xfrm>
                      <a:off x="0" y="0"/>
                      <a:ext cx="4742569" cy="3050242"/>
                    </a:xfrm>
                    <a:prstGeom prst="rect">
                      <a:avLst/>
                    </a:prstGeom>
                    <a:noFill/>
                    <a:ln w="9525">
                      <a:noFill/>
                      <a:miter lim="800000"/>
                      <a:headEnd/>
                      <a:tailEnd/>
                    </a:ln>
                  </pic:spPr>
                </pic:pic>
              </a:graphicData>
            </a:graphic>
          </wp:inline>
        </w:drawing>
      </w:r>
    </w:p>
    <w:p w:rsidR="00CB3918" w:rsidRDefault="00CB3918" w:rsidP="00082EDD"/>
    <w:p w:rsidR="00CB3918" w:rsidRPr="009A421B" w:rsidRDefault="00CB3918" w:rsidP="00082EDD">
      <w:pPr>
        <w:pStyle w:val="Caption"/>
      </w:pPr>
      <w:bookmarkStart w:id="62" w:name="_Toc262193793"/>
      <w:bookmarkStart w:id="63" w:name="_Toc284935635"/>
      <w:r w:rsidRPr="009A421B">
        <w:lastRenderedPageBreak/>
        <w:t xml:space="preserve">Figure </w:t>
      </w:r>
      <w:r w:rsidR="003344CA">
        <w:fldChar w:fldCharType="begin"/>
      </w:r>
      <w:r w:rsidR="003344CA">
        <w:instrText xml:space="preserve"> SEQ Figure \* ARABIC </w:instrText>
      </w:r>
      <w:r w:rsidR="003344CA">
        <w:fldChar w:fldCharType="separate"/>
      </w:r>
      <w:r w:rsidR="009B0830" w:rsidRPr="009A421B">
        <w:rPr>
          <w:noProof/>
        </w:rPr>
        <w:t>12</w:t>
      </w:r>
      <w:r w:rsidR="003344CA">
        <w:rPr>
          <w:noProof/>
        </w:rPr>
        <w:fldChar w:fldCharType="end"/>
      </w:r>
      <w:r w:rsidRPr="009A421B">
        <w:t xml:space="preserve">: </w:t>
      </w:r>
      <w:r w:rsidR="001F1569">
        <w:t xml:space="preserve"> </w:t>
      </w:r>
      <w:r w:rsidRPr="009A421B">
        <w:t>Oswego, Northeast Kendall/Northwest Will County</w:t>
      </w:r>
      <w:bookmarkEnd w:id="62"/>
      <w:bookmarkEnd w:id="63"/>
    </w:p>
    <w:p w:rsidR="00CB3918" w:rsidRPr="00CB3918" w:rsidRDefault="00294DA0" w:rsidP="00082EDD">
      <w:pPr>
        <w:rPr>
          <w:rFonts w:ascii="Palatino Linotype" w:hAnsi="Palatino Linotype"/>
        </w:rPr>
      </w:pPr>
      <w:r>
        <w:rPr>
          <w:rFonts w:ascii="Palatino Linotype" w:hAnsi="Palatino Linotype"/>
        </w:rPr>
        <w:t xml:space="preserve">Focusing </w:t>
      </w:r>
      <w:r w:rsidR="00E60C3C">
        <w:rPr>
          <w:rFonts w:ascii="Palatino Linotype" w:hAnsi="Palatino Linotype"/>
        </w:rPr>
        <w:t xml:space="preserve">on a smaller area </w:t>
      </w:r>
      <w:r>
        <w:rPr>
          <w:rFonts w:ascii="Palatino Linotype" w:hAnsi="Palatino Linotype"/>
        </w:rPr>
        <w:t xml:space="preserve">shows the </w:t>
      </w:r>
      <w:r w:rsidR="00CB3918" w:rsidRPr="00CB3918">
        <w:rPr>
          <w:rFonts w:ascii="Palatino Linotype" w:hAnsi="Palatino Linotype"/>
        </w:rPr>
        <w:t>typical</w:t>
      </w:r>
      <w:r>
        <w:rPr>
          <w:rFonts w:ascii="Palatino Linotype" w:hAnsi="Palatino Linotype"/>
        </w:rPr>
        <w:t xml:space="preserve"> forecasting</w:t>
      </w:r>
      <w:r w:rsidR="00CB3918" w:rsidRPr="00CB3918">
        <w:rPr>
          <w:rFonts w:ascii="Palatino Linotype" w:hAnsi="Palatino Linotype"/>
        </w:rPr>
        <w:t xml:space="preserve"> problem</w:t>
      </w:r>
      <w:r>
        <w:rPr>
          <w:rFonts w:ascii="Palatino Linotype" w:hAnsi="Palatino Linotype"/>
        </w:rPr>
        <w:t xml:space="preserve"> when large tracts of land develop quickly</w:t>
      </w:r>
      <w:r w:rsidR="00CB3918" w:rsidRPr="00CB3918">
        <w:rPr>
          <w:rFonts w:ascii="Palatino Linotype" w:hAnsi="Palatino Linotype"/>
        </w:rPr>
        <w:t>.  It’s clear that these are new subdivisions currently under development.  In subzone 15333 (circled), we estimate zero households on 481 parcels.</w:t>
      </w:r>
    </w:p>
    <w:p w:rsidR="00CB3918" w:rsidRDefault="00CB782F" w:rsidP="00082EDD">
      <w:r>
        <w:rPr>
          <w:noProof/>
        </w:rPr>
        <mc:AlternateContent>
          <mc:Choice Requires="wps">
            <w:drawing>
              <wp:anchor distT="0" distB="0" distL="114300" distR="114300" simplePos="0" relativeHeight="251660288" behindDoc="0" locked="0" layoutInCell="1" allowOverlap="1" wp14:anchorId="1EA27586" wp14:editId="598359F0">
                <wp:simplePos x="0" y="0"/>
                <wp:positionH relativeFrom="column">
                  <wp:posOffset>737235</wp:posOffset>
                </wp:positionH>
                <wp:positionV relativeFrom="paragraph">
                  <wp:posOffset>219075</wp:posOffset>
                </wp:positionV>
                <wp:extent cx="708025" cy="395605"/>
                <wp:effectExtent l="13335" t="10795" r="12065" b="12700"/>
                <wp:wrapNone/>
                <wp:docPr id="3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395605"/>
                        </a:xfrm>
                        <a:prstGeom prst="ellipse">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58.05pt;margin-top:17.25pt;width:55.75pt;height:3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" filled="f" fillcolor="white [3201]" strokecolor="#c0504d [3205]" strokeweight="1pt">
                <v:stroke dashstyle="dash"/>
                <v:shadow color="#868686"/>
              </v:oval>
            </w:pict>
          </mc:Fallback>
        </mc:AlternateContent>
      </w:r>
      <w:r w:rsidR="00CB3918">
        <w:rPr>
          <w:noProof/>
        </w:rPr>
        <w:drawing>
          <wp:inline distT="0" distB="0" distL="0" distR="0" wp14:anchorId="1F1E383D" wp14:editId="65602CC9">
            <wp:extent cx="3075024" cy="1974406"/>
            <wp:effectExtent l="19050" t="0" r="0" b="0"/>
            <wp:docPr id="15" name="Picture 2" descr="C:\Users\kwies\Desktop\prfrd_par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ies\Desktop\prfrd_parcel.jpg"/>
                    <pic:cNvPicPr>
                      <a:picLocks noChangeAspect="1" noChangeArrowheads="1"/>
                    </pic:cNvPicPr>
                  </pic:nvPicPr>
                  <pic:blipFill>
                    <a:blip r:embed="rId38" cstate="print"/>
                    <a:srcRect/>
                    <a:stretch>
                      <a:fillRect/>
                    </a:stretch>
                  </pic:blipFill>
                  <pic:spPr bwMode="auto">
                    <a:xfrm>
                      <a:off x="0" y="0"/>
                      <a:ext cx="3077272" cy="1975849"/>
                    </a:xfrm>
                    <a:prstGeom prst="rect">
                      <a:avLst/>
                    </a:prstGeom>
                    <a:noFill/>
                    <a:ln w="9525">
                      <a:noFill/>
                      <a:miter lim="800000"/>
                      <a:headEnd/>
                      <a:tailEnd/>
                    </a:ln>
                  </pic:spPr>
                </pic:pic>
              </a:graphicData>
            </a:graphic>
          </wp:inline>
        </w:drawing>
      </w:r>
    </w:p>
    <w:p w:rsidR="00CB3918" w:rsidRPr="009A421B" w:rsidRDefault="00CB3918" w:rsidP="00082EDD">
      <w:pPr>
        <w:pStyle w:val="Caption"/>
      </w:pPr>
      <w:bookmarkStart w:id="64" w:name="_Toc262193794"/>
      <w:bookmarkStart w:id="65" w:name="_Toc284935636"/>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13</w:t>
      </w:r>
      <w:r w:rsidR="003344CA">
        <w:rPr>
          <w:noProof/>
        </w:rPr>
        <w:fldChar w:fldCharType="end"/>
      </w:r>
      <w:r w:rsidRPr="009A421B">
        <w:t>:</w:t>
      </w:r>
      <w:r w:rsidR="001F1569">
        <w:t xml:space="preserve"> </w:t>
      </w:r>
      <w:r w:rsidRPr="009A421B">
        <w:t xml:space="preserve"> Wheatland Township, Will County</w:t>
      </w:r>
      <w:bookmarkEnd w:id="64"/>
      <w:bookmarkEnd w:id="65"/>
    </w:p>
    <w:p w:rsidR="00CB3918" w:rsidRDefault="00CB3918" w:rsidP="00082EDD">
      <w:r w:rsidRPr="00CB3918">
        <w:rPr>
          <w:rFonts w:ascii="Palatino Linotype" w:hAnsi="Palatino Linotype"/>
        </w:rPr>
        <w:t xml:space="preserve">This problem becomes quite concentrated in rapidly growing areas; particularly along the Will and Kendall County border.  </w:t>
      </w:r>
      <w:r>
        <w:rPr>
          <w:noProof/>
        </w:rPr>
        <w:drawing>
          <wp:inline distT="0" distB="0" distL="0" distR="0" wp14:anchorId="35A316CD" wp14:editId="4CAE9302">
            <wp:extent cx="3138820" cy="2015368"/>
            <wp:effectExtent l="19050" t="0" r="4430" b="0"/>
            <wp:docPr id="17" name="Picture 3" descr="C:\Users\kwies\Desktop\prfrd_par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wies\Desktop\prfrd_parcel.jpg"/>
                    <pic:cNvPicPr>
                      <a:picLocks noChangeAspect="1" noChangeArrowheads="1"/>
                    </pic:cNvPicPr>
                  </pic:nvPicPr>
                  <pic:blipFill>
                    <a:blip r:embed="rId39" cstate="print"/>
                    <a:srcRect/>
                    <a:stretch>
                      <a:fillRect/>
                    </a:stretch>
                  </pic:blipFill>
                  <pic:spPr bwMode="auto">
                    <a:xfrm>
                      <a:off x="0" y="0"/>
                      <a:ext cx="3137650" cy="2014617"/>
                    </a:xfrm>
                    <a:prstGeom prst="rect">
                      <a:avLst/>
                    </a:prstGeom>
                    <a:noFill/>
                    <a:ln w="9525">
                      <a:noFill/>
                      <a:miter lim="800000"/>
                      <a:headEnd/>
                      <a:tailEnd/>
                    </a:ln>
                  </pic:spPr>
                </pic:pic>
              </a:graphicData>
            </a:graphic>
          </wp:inline>
        </w:drawing>
      </w:r>
    </w:p>
    <w:p w:rsidR="00CB3918" w:rsidRPr="00D87D96" w:rsidRDefault="00D87D96" w:rsidP="00082EDD">
      <w:pPr>
        <w:rPr>
          <w:rFonts w:ascii="Palatino Linotype" w:hAnsi="Palatino Linotype"/>
        </w:rPr>
      </w:pPr>
      <w:r w:rsidRPr="00D87D96">
        <w:rPr>
          <w:rFonts w:ascii="Palatino Linotype" w:hAnsi="Palatino Linotype"/>
        </w:rPr>
        <w:lastRenderedPageBreak/>
        <w:t xml:space="preserve">To correct the problem, 2040 household values were constrained to match or exceed the current parcel count.  </w:t>
      </w:r>
      <w:r w:rsidR="00CB3918" w:rsidRPr="00D87D96">
        <w:rPr>
          <w:rFonts w:ascii="Palatino Linotype" w:hAnsi="Palatino Linotype"/>
        </w:rPr>
        <w:t xml:space="preserve">At the subzone level the </w:t>
      </w:r>
      <w:r w:rsidRPr="00D87D96">
        <w:rPr>
          <w:rFonts w:ascii="Palatino Linotype" w:hAnsi="Palatino Linotype"/>
        </w:rPr>
        <w:t xml:space="preserve">correction </w:t>
      </w:r>
      <w:r w:rsidR="00CB3918" w:rsidRPr="00D87D96">
        <w:rPr>
          <w:rFonts w:ascii="Palatino Linotype" w:hAnsi="Palatino Linotype"/>
        </w:rPr>
        <w:t>looks reasonable, particularly on the fringe where the 2040 estimating process likely missed new development.</w:t>
      </w:r>
      <w:r w:rsidRPr="00D87D96">
        <w:rPr>
          <w:rFonts w:ascii="Palatino Linotype" w:hAnsi="Palatino Linotype"/>
        </w:rPr>
        <w:t xml:space="preserve">  This is a stopgap correction in anticipation of the 2010 Census release that will necessitate a complete revalidation of the forecasts.</w:t>
      </w:r>
    </w:p>
    <w:p w:rsidR="00294DA0" w:rsidRPr="009A421B" w:rsidRDefault="00294DA0" w:rsidP="00294DA0">
      <w:pPr>
        <w:pStyle w:val="Caption"/>
      </w:pPr>
      <w:bookmarkStart w:id="66" w:name="_Toc262193795"/>
      <w:bookmarkStart w:id="67" w:name="_Toc284935637"/>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14</w:t>
      </w:r>
      <w:r w:rsidR="003344CA">
        <w:rPr>
          <w:noProof/>
        </w:rPr>
        <w:fldChar w:fldCharType="end"/>
      </w:r>
      <w:r w:rsidRPr="009A421B">
        <w:t xml:space="preserve">: </w:t>
      </w:r>
      <w:r w:rsidR="001F1569">
        <w:t xml:space="preserve"> </w:t>
      </w:r>
      <w:r w:rsidRPr="009A421B">
        <w:t>2040 household values constrained to match or exceed 2010 parcel counts.</w:t>
      </w:r>
      <w:bookmarkEnd w:id="66"/>
      <w:bookmarkEnd w:id="67"/>
    </w:p>
    <w:p w:rsidR="00CB3918" w:rsidRDefault="00CB3918" w:rsidP="00082EDD">
      <w:r>
        <w:rPr>
          <w:noProof/>
        </w:rPr>
        <w:drawing>
          <wp:inline distT="0" distB="0" distL="0" distR="0" wp14:anchorId="604A9A14" wp14:editId="2905CFC0">
            <wp:extent cx="2653478" cy="3433579"/>
            <wp:effectExtent l="19050" t="0" r="0" b="0"/>
            <wp:docPr id="20" name="Picture 2" descr="C:\Users\kwie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ies\Desktop\Untitled.jpg"/>
                    <pic:cNvPicPr>
                      <a:picLocks noChangeAspect="1" noChangeArrowheads="1"/>
                    </pic:cNvPicPr>
                  </pic:nvPicPr>
                  <pic:blipFill>
                    <a:blip r:embed="rId40" cstate="print"/>
                    <a:srcRect/>
                    <a:stretch>
                      <a:fillRect/>
                    </a:stretch>
                  </pic:blipFill>
                  <pic:spPr bwMode="auto">
                    <a:xfrm>
                      <a:off x="0" y="0"/>
                      <a:ext cx="2656872" cy="3437971"/>
                    </a:xfrm>
                    <a:prstGeom prst="rect">
                      <a:avLst/>
                    </a:prstGeom>
                    <a:noFill/>
                    <a:ln w="9525">
                      <a:noFill/>
                      <a:miter lim="800000"/>
                      <a:headEnd/>
                      <a:tailEnd/>
                    </a:ln>
                  </pic:spPr>
                </pic:pic>
              </a:graphicData>
            </a:graphic>
          </wp:inline>
        </w:drawing>
      </w:r>
    </w:p>
    <w:p w:rsidR="00ED5FC9" w:rsidRDefault="00ED5FC9">
      <w:pPr>
        <w:rPr>
          <w:rFonts w:ascii="Palatino Linotype" w:eastAsiaTheme="majorEastAsia" w:hAnsi="Palatino Linotype" w:cstheme="majorBidi"/>
          <w:b/>
          <w:bCs/>
          <w:color w:val="4F81BD" w:themeColor="accent1"/>
          <w:sz w:val="26"/>
          <w:szCs w:val="26"/>
        </w:rPr>
      </w:pPr>
      <w:r>
        <w:rPr>
          <w:rFonts w:ascii="Palatino Linotype" w:hAnsi="Palatino Linotype"/>
        </w:rPr>
        <w:br w:type="page"/>
      </w:r>
    </w:p>
    <w:p w:rsidR="00932FB8" w:rsidRDefault="00D6516C" w:rsidP="00932FB8">
      <w:pPr>
        <w:pStyle w:val="Heading3"/>
        <w:rPr>
          <w:rFonts w:ascii="Palatino Linotype" w:hAnsi="Palatino Linotype"/>
        </w:rPr>
      </w:pPr>
      <w:bookmarkStart w:id="68" w:name="_Toc284935563"/>
      <w:bookmarkStart w:id="69" w:name="_Ref263691234"/>
      <w:r>
        <w:rPr>
          <w:rFonts w:ascii="Palatino Linotype" w:hAnsi="Palatino Linotype"/>
        </w:rPr>
        <w:lastRenderedPageBreak/>
        <w:t xml:space="preserve">E4. </w:t>
      </w:r>
      <w:r w:rsidR="001F1569">
        <w:rPr>
          <w:rFonts w:ascii="Palatino Linotype" w:hAnsi="Palatino Linotype"/>
        </w:rPr>
        <w:t xml:space="preserve"> </w:t>
      </w:r>
      <w:r>
        <w:rPr>
          <w:rFonts w:ascii="Palatino Linotype" w:hAnsi="Palatino Linotype"/>
        </w:rPr>
        <w:t>Land c</w:t>
      </w:r>
      <w:r w:rsidR="00932FB8">
        <w:rPr>
          <w:rFonts w:ascii="Palatino Linotype" w:hAnsi="Palatino Linotype"/>
        </w:rPr>
        <w:t xml:space="preserve">apacity </w:t>
      </w:r>
      <w:r>
        <w:rPr>
          <w:rFonts w:ascii="Palatino Linotype" w:hAnsi="Palatino Linotype"/>
        </w:rPr>
        <w:t>v</w:t>
      </w:r>
      <w:r w:rsidR="00932FB8">
        <w:rPr>
          <w:rFonts w:ascii="Palatino Linotype" w:hAnsi="Palatino Linotype"/>
        </w:rPr>
        <w:t>alidation</w:t>
      </w:r>
      <w:bookmarkEnd w:id="68"/>
    </w:p>
    <w:p w:rsidR="00932FB8" w:rsidRDefault="00932FB8" w:rsidP="00932FB8">
      <w:pPr>
        <w:spacing w:after="0" w:line="240" w:lineRule="auto"/>
        <w:rPr>
          <w:rFonts w:ascii="Palatino Linotype" w:hAnsi="Palatino Linotype"/>
        </w:rPr>
      </w:pPr>
    </w:p>
    <w:p w:rsidR="00932FB8" w:rsidRPr="00C26761" w:rsidRDefault="00932FB8" w:rsidP="00932FB8">
      <w:pPr>
        <w:spacing w:after="0" w:line="240" w:lineRule="auto"/>
        <w:rPr>
          <w:rFonts w:ascii="Palatino Linotype" w:hAnsi="Palatino Linotype"/>
          <w:i/>
        </w:rPr>
      </w:pPr>
      <w:r w:rsidRPr="00C26761">
        <w:rPr>
          <w:rFonts w:ascii="Palatino Linotype" w:hAnsi="Palatino Linotype"/>
          <w:i/>
        </w:rPr>
        <w:t>Past versus projected household change</w:t>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rPr>
          <w:rFonts w:ascii="Palatino Linotype" w:hAnsi="Palatino Linotype"/>
        </w:rPr>
      </w:pPr>
      <w:r>
        <w:rPr>
          <w:rFonts w:ascii="Palatino Linotype" w:hAnsi="Palatino Linotype"/>
        </w:rPr>
        <w:t>In townships where population has grown historically, h</w:t>
      </w:r>
      <w:r w:rsidRPr="00C26761">
        <w:rPr>
          <w:rFonts w:ascii="Palatino Linotype" w:hAnsi="Palatino Linotype"/>
        </w:rPr>
        <w:t xml:space="preserve">ousehold </w:t>
      </w:r>
      <w:r>
        <w:rPr>
          <w:rFonts w:ascii="Palatino Linotype" w:hAnsi="Palatino Linotype"/>
        </w:rPr>
        <w:t>growth</w:t>
      </w:r>
      <w:r w:rsidRPr="00C26761">
        <w:rPr>
          <w:rFonts w:ascii="Palatino Linotype" w:hAnsi="Palatino Linotype"/>
        </w:rPr>
        <w:t xml:space="preserve"> </w:t>
      </w:r>
      <w:r>
        <w:rPr>
          <w:rFonts w:ascii="Palatino Linotype" w:hAnsi="Palatino Linotype"/>
        </w:rPr>
        <w:t>is projected to occur</w:t>
      </w:r>
      <w:r w:rsidRPr="00C26761">
        <w:rPr>
          <w:rFonts w:ascii="Palatino Linotype" w:hAnsi="Palatino Linotype"/>
        </w:rPr>
        <w:t xml:space="preserve"> </w:t>
      </w:r>
      <w:r>
        <w:rPr>
          <w:rFonts w:ascii="Palatino Linotype" w:hAnsi="Palatino Linotype"/>
        </w:rPr>
        <w:t xml:space="preserve">slightly more slowly than it has in the past. </w:t>
      </w:r>
      <w:r w:rsidR="00632D50">
        <w:rPr>
          <w:rFonts w:ascii="Palatino Linotype" w:hAnsi="Palatino Linotype"/>
        </w:rPr>
        <w:t xml:space="preserve"> </w:t>
      </w:r>
      <w:r>
        <w:rPr>
          <w:rFonts w:ascii="Palatino Linotype" w:hAnsi="Palatino Linotype"/>
        </w:rPr>
        <w:t xml:space="preserve">Townships with higher growth per decade between 1990 and 2010 also had higher growth in the preferred scenario between 2010 and 2040 (again, per decade). </w:t>
      </w:r>
      <w:r w:rsidR="00632D50">
        <w:rPr>
          <w:rFonts w:ascii="Palatino Linotype" w:hAnsi="Palatino Linotype"/>
        </w:rPr>
        <w:t xml:space="preserve"> </w:t>
      </w:r>
      <w:r>
        <w:rPr>
          <w:rFonts w:ascii="Palatino Linotype" w:hAnsi="Palatino Linotype"/>
        </w:rPr>
        <w:t>However, 19 townships had household losses between 1990 and 2010.</w:t>
      </w:r>
      <w:r w:rsidR="00632D50">
        <w:rPr>
          <w:rFonts w:ascii="Palatino Linotype" w:hAnsi="Palatino Linotype"/>
        </w:rPr>
        <w:t xml:space="preserve"> </w:t>
      </w:r>
      <w:r>
        <w:rPr>
          <w:rFonts w:ascii="Palatino Linotype" w:hAnsi="Palatino Linotype"/>
        </w:rPr>
        <w:t xml:space="preserve"> Interestingly, the greater the 1990 – 2010 loss, the higher the rate of household growth from 2010 to 2040, as the graph below shows. </w:t>
      </w:r>
    </w:p>
    <w:p w:rsidR="00932FB8" w:rsidRDefault="00932FB8" w:rsidP="00932FB8">
      <w:pPr>
        <w:spacing w:after="0" w:line="240" w:lineRule="auto"/>
        <w:jc w:val="center"/>
        <w:rPr>
          <w:rFonts w:ascii="Palatino Linotype" w:hAnsi="Palatino Linotype"/>
        </w:rPr>
      </w:pPr>
      <w:r w:rsidRPr="00D12465">
        <w:rPr>
          <w:rFonts w:ascii="Palatino Linotype" w:hAnsi="Palatino Linotype"/>
          <w:noProof/>
        </w:rPr>
        <w:drawing>
          <wp:inline distT="0" distB="0" distL="0" distR="0" wp14:anchorId="5EFFD476" wp14:editId="1786994C">
            <wp:extent cx="4337825" cy="2602695"/>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32FB8" w:rsidRDefault="00932FB8" w:rsidP="00932FB8">
      <w:pPr>
        <w:spacing w:after="0" w:line="240" w:lineRule="auto"/>
        <w:rPr>
          <w:rFonts w:ascii="Palatino Linotype" w:hAnsi="Palatino Linotype"/>
        </w:rPr>
      </w:pPr>
      <w:r>
        <w:rPr>
          <w:rFonts w:ascii="Palatino Linotype" w:hAnsi="Palatino Linotype"/>
        </w:rPr>
        <w:t>There are four clear outliers in the top half of the scatter plot above.</w:t>
      </w:r>
      <w:r w:rsidR="00632D50">
        <w:rPr>
          <w:rFonts w:ascii="Palatino Linotype" w:hAnsi="Palatino Linotype"/>
        </w:rPr>
        <w:t xml:space="preserve"> </w:t>
      </w:r>
      <w:r>
        <w:rPr>
          <w:rFonts w:ascii="Palatino Linotype" w:hAnsi="Palatino Linotype"/>
        </w:rPr>
        <w:t xml:space="preserve"> One is the highest-growth township, which is in Chicago. </w:t>
      </w:r>
      <w:r w:rsidR="00632D50">
        <w:rPr>
          <w:rFonts w:ascii="Palatino Linotype" w:hAnsi="Palatino Linotype"/>
        </w:rPr>
        <w:t xml:space="preserve"> </w:t>
      </w:r>
      <w:r>
        <w:rPr>
          <w:rFonts w:ascii="Palatino Linotype" w:hAnsi="Palatino Linotype"/>
        </w:rPr>
        <w:t xml:space="preserve">The other three show projected growth that is well below historically high levels. </w:t>
      </w:r>
      <w:r w:rsidR="00632D50">
        <w:rPr>
          <w:rFonts w:ascii="Palatino Linotype" w:hAnsi="Palatino Linotype"/>
        </w:rPr>
        <w:t xml:space="preserve"> </w:t>
      </w:r>
      <w:r>
        <w:rPr>
          <w:rFonts w:ascii="Palatino Linotype" w:hAnsi="Palatino Linotype"/>
        </w:rPr>
        <w:t xml:space="preserve">These are the near north neighborhoods of Chicago as well as a township in south Cook containing parts of University Park, Richton Park, Matteson, etc. After excluding these outliers, it can be seen (figure below) that on average, the townships that grew during the 1990 – 2010 period are projected to grow 89% as fast over the 2010 – 2040 period. </w:t>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jc w:val="center"/>
        <w:rPr>
          <w:rFonts w:ascii="Palatino Linotype" w:hAnsi="Palatino Linotype"/>
        </w:rPr>
      </w:pPr>
      <w:r w:rsidRPr="00B742DA">
        <w:rPr>
          <w:rFonts w:ascii="Palatino Linotype" w:hAnsi="Palatino Linotype"/>
          <w:noProof/>
        </w:rPr>
        <w:lastRenderedPageBreak/>
        <w:drawing>
          <wp:inline distT="0" distB="0" distL="0" distR="0" wp14:anchorId="21B3B7B4" wp14:editId="069B259F">
            <wp:extent cx="4248614" cy="2549168"/>
            <wp:effectExtent l="0" t="0" r="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32FB8" w:rsidRDefault="00932FB8" w:rsidP="00932FB8">
      <w:pPr>
        <w:spacing w:after="0" w:line="240" w:lineRule="auto"/>
        <w:rPr>
          <w:rFonts w:ascii="Palatino Linotype" w:hAnsi="Palatino Linotype"/>
        </w:rPr>
      </w:pPr>
      <w:r>
        <w:rPr>
          <w:rFonts w:ascii="Palatino Linotype" w:hAnsi="Palatino Linotype"/>
        </w:rPr>
        <w:t xml:space="preserve">The majority of the townships with historical losses are in western or southern Cook (figure below). </w:t>
      </w:r>
      <w:r w:rsidR="00632D50">
        <w:rPr>
          <w:rFonts w:ascii="Palatino Linotype" w:hAnsi="Palatino Linotype"/>
        </w:rPr>
        <w:t xml:space="preserve"> </w:t>
      </w:r>
      <w:r>
        <w:rPr>
          <w:rFonts w:ascii="Palatino Linotype" w:hAnsi="Palatino Linotype"/>
        </w:rPr>
        <w:t>Thus, the allocation of new population to previously population-losing areas in proportion to their loss represents the preferred scenario’s emphasis on reinvestment.</w:t>
      </w:r>
      <w:r w:rsidR="00632D50">
        <w:rPr>
          <w:rFonts w:ascii="Palatino Linotype" w:hAnsi="Palatino Linotype"/>
        </w:rPr>
        <w:t xml:space="preserve"> </w:t>
      </w:r>
      <w:r>
        <w:rPr>
          <w:rFonts w:ascii="Palatino Linotype" w:hAnsi="Palatino Linotype"/>
        </w:rPr>
        <w:t xml:space="preserve"> No townships lose population in the preferred scenario — nor do any subzones, for that matter.</w:t>
      </w:r>
      <w:r w:rsidR="00632D50">
        <w:rPr>
          <w:rFonts w:ascii="Palatino Linotype" w:hAnsi="Palatino Linotype"/>
        </w:rPr>
        <w:t xml:space="preserve"> </w:t>
      </w:r>
      <w:r>
        <w:rPr>
          <w:rFonts w:ascii="Palatino Linotype" w:hAnsi="Palatino Linotype"/>
        </w:rPr>
        <w:t xml:space="preserve"> This is consistent with the idea that the preferred scenario is meant to embody desirable future conditions in the region, but for it to happen would be a significant break from the past. </w:t>
      </w:r>
      <w:r w:rsidR="00632D50">
        <w:rPr>
          <w:rFonts w:ascii="Palatino Linotype" w:hAnsi="Palatino Linotype"/>
        </w:rPr>
        <w:t xml:space="preserve"> </w:t>
      </w:r>
      <w:r>
        <w:rPr>
          <w:rFonts w:ascii="Palatino Linotype" w:hAnsi="Palatino Linotype"/>
        </w:rPr>
        <w:t xml:space="preserve">From 1990 to 2000, 17 townships lost population. </w:t>
      </w:r>
      <w:r w:rsidR="00632D50">
        <w:rPr>
          <w:rFonts w:ascii="Palatino Linotype" w:hAnsi="Palatino Linotype"/>
        </w:rPr>
        <w:t xml:space="preserve"> </w:t>
      </w:r>
      <w:r>
        <w:rPr>
          <w:rFonts w:ascii="Palatino Linotype" w:hAnsi="Palatino Linotype"/>
        </w:rPr>
        <w:t>From 2000 to 2010, 24 townships lost population.</w:t>
      </w:r>
      <w:r w:rsidR="00632D50">
        <w:rPr>
          <w:rFonts w:ascii="Palatino Linotype" w:hAnsi="Palatino Linotype"/>
        </w:rPr>
        <w:t xml:space="preserve"> </w:t>
      </w:r>
      <w:r>
        <w:rPr>
          <w:rFonts w:ascii="Palatino Linotype" w:hAnsi="Palatino Linotype"/>
        </w:rPr>
        <w:t xml:space="preserve"> The assumption of no future loss of population is typical of most regional planning exercises, as is the projection that communities will revive in proportion to their loss. </w:t>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jc w:val="center"/>
        <w:rPr>
          <w:rFonts w:ascii="Palatino Linotype" w:hAnsi="Palatino Linotype"/>
        </w:rPr>
      </w:pPr>
      <w:r>
        <w:rPr>
          <w:rFonts w:ascii="Palatino Linotype" w:hAnsi="Palatino Linotype"/>
          <w:noProof/>
        </w:rPr>
        <w:lastRenderedPageBreak/>
        <w:drawing>
          <wp:inline distT="0" distB="0" distL="0" distR="0" wp14:anchorId="08FF0534" wp14:editId="3A775776">
            <wp:extent cx="3471282" cy="3133061"/>
            <wp:effectExtent l="19050" t="0" r="0" b="0"/>
            <wp:docPr id="18" name="Picture 4" descr="dec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ine2.jpg"/>
                    <pic:cNvPicPr/>
                  </pic:nvPicPr>
                  <pic:blipFill>
                    <a:blip r:embed="rId43" cstate="print"/>
                    <a:srcRect l="9430" t="25942" r="16689" b="22556"/>
                    <a:stretch>
                      <a:fillRect/>
                    </a:stretch>
                  </pic:blipFill>
                  <pic:spPr>
                    <a:xfrm>
                      <a:off x="0" y="0"/>
                      <a:ext cx="3471282" cy="3133061"/>
                    </a:xfrm>
                    <a:prstGeom prst="rect">
                      <a:avLst/>
                    </a:prstGeom>
                  </pic:spPr>
                </pic:pic>
              </a:graphicData>
            </a:graphic>
          </wp:inline>
        </w:drawing>
      </w:r>
    </w:p>
    <w:p w:rsidR="00932FB8" w:rsidRDefault="00932FB8" w:rsidP="00932FB8">
      <w:pPr>
        <w:spacing w:after="0" w:line="240" w:lineRule="auto"/>
        <w:rPr>
          <w:rFonts w:ascii="Palatino Linotype" w:hAnsi="Palatino Linotype"/>
        </w:rPr>
      </w:pPr>
      <w:r>
        <w:rPr>
          <w:rFonts w:ascii="Palatino Linotype" w:hAnsi="Palatino Linotype"/>
        </w:rPr>
        <w:t xml:space="preserve">Partly because of the growth projected in historically declining townships, the </w:t>
      </w:r>
      <w:r w:rsidRPr="004C1E30">
        <w:rPr>
          <w:rFonts w:ascii="Palatino Linotype" w:hAnsi="Palatino Linotype"/>
        </w:rPr>
        <w:t>GO TO 2040</w:t>
      </w:r>
      <w:r>
        <w:rPr>
          <w:rFonts w:ascii="Palatino Linotype" w:hAnsi="Palatino Linotype"/>
        </w:rPr>
        <w:t xml:space="preserve"> household forecasts show a more “balanced” growth pattern than in the past two decades, with household growth occurring more uniformly across the region. </w:t>
      </w:r>
      <w:r w:rsidR="00632D50">
        <w:rPr>
          <w:rFonts w:ascii="Palatino Linotype" w:hAnsi="Palatino Linotype"/>
        </w:rPr>
        <w:t xml:space="preserve"> </w:t>
      </w:r>
      <w:r>
        <w:rPr>
          <w:rFonts w:ascii="Palatino Linotype" w:hAnsi="Palatino Linotype"/>
        </w:rPr>
        <w:t>The map below shows household growth per decade from 1990 to 2010 versus projected growth from 2010 to 2040.</w:t>
      </w:r>
      <w:r w:rsidR="00632D50">
        <w:rPr>
          <w:rFonts w:ascii="Palatino Linotype" w:hAnsi="Palatino Linotype"/>
        </w:rPr>
        <w:t xml:space="preserve"> </w:t>
      </w:r>
      <w:r>
        <w:rPr>
          <w:rFonts w:ascii="Palatino Linotype" w:hAnsi="Palatino Linotype"/>
        </w:rPr>
        <w:t xml:space="preserve"> One obvious difference between the two periods is that growth in Cook County and eastern DuPage is projected to be higher than it has been in the past. </w:t>
      </w:r>
    </w:p>
    <w:p w:rsidR="00932FB8" w:rsidRDefault="00932FB8" w:rsidP="00932FB8">
      <w:pPr>
        <w:spacing w:after="0" w:line="240" w:lineRule="auto"/>
        <w:rPr>
          <w:rFonts w:ascii="Palatino Linotype" w:hAnsi="Palatino Linotype"/>
        </w:rPr>
      </w:pPr>
    </w:p>
    <w:p w:rsidR="00932FB8" w:rsidRDefault="00CB782F" w:rsidP="00932FB8">
      <w:pPr>
        <w:spacing w:after="0" w:line="240" w:lineRule="auto"/>
        <w:jc w:val="center"/>
        <w:rPr>
          <w:rFonts w:ascii="Palatino Linotype" w:hAnsi="Palatino Linotype"/>
        </w:rPr>
      </w:pPr>
      <w:r>
        <w:rPr>
          <w:rFonts w:ascii="Palatino Linotype" w:hAnsi="Palatino Linotype"/>
          <w:noProof/>
        </w:rPr>
        <w:lastRenderedPageBreak/>
        <mc:AlternateContent>
          <mc:Choice Requires="wps">
            <w:drawing>
              <wp:anchor distT="0" distB="0" distL="114300" distR="114300" simplePos="0" relativeHeight="251663360" behindDoc="0" locked="0" layoutInCell="1" allowOverlap="1" wp14:anchorId="0F630CDB" wp14:editId="65F0EFDE">
                <wp:simplePos x="0" y="0"/>
                <wp:positionH relativeFrom="column">
                  <wp:posOffset>1538605</wp:posOffset>
                </wp:positionH>
                <wp:positionV relativeFrom="paragraph">
                  <wp:posOffset>2482215</wp:posOffset>
                </wp:positionV>
                <wp:extent cx="1092835" cy="178435"/>
                <wp:effectExtent l="0" t="0" r="0" b="2540"/>
                <wp:wrapNone/>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1.15pt;margin-top:195.45pt;width:86.05pt;height:1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yaewIAAPw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" stroked="f"/>
            </w:pict>
          </mc:Fallback>
        </mc:AlternateContent>
      </w:r>
      <w:r w:rsidR="00932FB8" w:rsidRPr="00B742DA">
        <w:rPr>
          <w:rFonts w:ascii="Palatino Linotype" w:hAnsi="Palatino Linotype"/>
          <w:noProof/>
        </w:rPr>
        <w:drawing>
          <wp:inline distT="0" distB="0" distL="0" distR="0" wp14:anchorId="672F0E55" wp14:editId="1345C84B">
            <wp:extent cx="3020926" cy="3189249"/>
            <wp:effectExtent l="19050" t="0" r="8024" b="0"/>
            <wp:docPr id="24" name="Picture 3" descr="high_low_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low_growth.jpg"/>
                    <pic:cNvPicPr/>
                  </pic:nvPicPr>
                  <pic:blipFill>
                    <a:blip r:embed="rId44" cstate="print"/>
                    <a:srcRect l="24092" t="26232" r="12939" b="22464"/>
                    <a:stretch>
                      <a:fillRect/>
                    </a:stretch>
                  </pic:blipFill>
                  <pic:spPr>
                    <a:xfrm>
                      <a:off x="0" y="0"/>
                      <a:ext cx="3017612" cy="3189249"/>
                    </a:xfrm>
                    <a:prstGeom prst="rect">
                      <a:avLst/>
                    </a:prstGeom>
                  </pic:spPr>
                </pic:pic>
              </a:graphicData>
            </a:graphic>
          </wp:inline>
        </w:drawing>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rPr>
          <w:rFonts w:ascii="Palatino Linotype" w:hAnsi="Palatino Linotype"/>
          <w:i/>
        </w:rPr>
      </w:pPr>
      <w:r>
        <w:rPr>
          <w:rFonts w:ascii="Palatino Linotype" w:hAnsi="Palatino Linotype"/>
          <w:i/>
        </w:rPr>
        <w:t>Redevelopment</w:t>
      </w:r>
    </w:p>
    <w:p w:rsidR="00932FB8" w:rsidRDefault="00932FB8" w:rsidP="00932FB8">
      <w:pPr>
        <w:spacing w:after="0" w:line="240" w:lineRule="auto"/>
        <w:rPr>
          <w:rFonts w:ascii="Palatino Linotype" w:hAnsi="Palatino Linotype"/>
        </w:rPr>
      </w:pPr>
      <w:r>
        <w:rPr>
          <w:rFonts w:ascii="Palatino Linotype" w:hAnsi="Palatino Linotype"/>
          <w:i/>
        </w:rPr>
        <w:br/>
      </w:r>
      <w:r>
        <w:rPr>
          <w:rFonts w:ascii="Palatino Linotype" w:hAnsi="Palatino Linotype"/>
        </w:rPr>
        <w:t>The household forecasts for northern Cook and most of DuPage Counties seem to imply substantial redevelopment.</w:t>
      </w:r>
      <w:r w:rsidR="00632D50">
        <w:rPr>
          <w:rFonts w:ascii="Palatino Linotype" w:hAnsi="Palatino Linotype"/>
        </w:rPr>
        <w:t xml:space="preserve"> </w:t>
      </w:r>
      <w:r>
        <w:rPr>
          <w:rFonts w:ascii="Palatino Linotype" w:hAnsi="Palatino Linotype"/>
        </w:rPr>
        <w:t xml:space="preserve"> In 32 out of 124 townships</w:t>
      </w:r>
      <w:r w:rsidRPr="003130F1">
        <w:rPr>
          <w:rFonts w:ascii="Palatino Linotype" w:hAnsi="Palatino Linotype"/>
        </w:rPr>
        <w:t xml:space="preserve"> it will </w:t>
      </w:r>
      <w:r>
        <w:rPr>
          <w:rFonts w:ascii="Palatino Linotype" w:hAnsi="Palatino Linotype"/>
        </w:rPr>
        <w:t xml:space="preserve">likely </w:t>
      </w:r>
      <w:r w:rsidRPr="003130F1">
        <w:rPr>
          <w:rFonts w:ascii="Palatino Linotype" w:hAnsi="Palatino Linotype"/>
        </w:rPr>
        <w:t>be necessary to replace lower density housing with higher density housing or to convert other non-vacant land</w:t>
      </w:r>
      <w:r>
        <w:rPr>
          <w:rFonts w:ascii="Palatino Linotype" w:hAnsi="Palatino Linotype"/>
        </w:rPr>
        <w:t xml:space="preserve">s to residential in order to achieve projected household growth. </w:t>
      </w:r>
      <w:r w:rsidR="00632D50">
        <w:rPr>
          <w:rFonts w:ascii="Palatino Linotype" w:hAnsi="Palatino Linotype"/>
        </w:rPr>
        <w:t xml:space="preserve"> </w:t>
      </w:r>
      <w:r>
        <w:rPr>
          <w:rFonts w:ascii="Palatino Linotype" w:hAnsi="Palatino Linotype"/>
        </w:rPr>
        <w:t>Townships where significant redevelopment involving major density increases were identified in the following way:</w:t>
      </w:r>
    </w:p>
    <w:p w:rsidR="00932FB8" w:rsidRDefault="00932FB8" w:rsidP="00932FB8">
      <w:pPr>
        <w:spacing w:after="0" w:line="240" w:lineRule="auto"/>
        <w:rPr>
          <w:rFonts w:ascii="Palatino Linotype" w:hAnsi="Palatino Linotype"/>
        </w:rPr>
      </w:pPr>
    </w:p>
    <w:p w:rsidR="00932FB8" w:rsidRDefault="00932FB8" w:rsidP="00932FB8">
      <w:pPr>
        <w:pStyle w:val="ListParagraph"/>
        <w:numPr>
          <w:ilvl w:val="0"/>
          <w:numId w:val="10"/>
        </w:numPr>
        <w:spacing w:after="0" w:line="240" w:lineRule="auto"/>
        <w:rPr>
          <w:rFonts w:ascii="Palatino Linotype" w:hAnsi="Palatino Linotype"/>
        </w:rPr>
      </w:pPr>
      <w:r>
        <w:rPr>
          <w:rFonts w:ascii="Palatino Linotype" w:hAnsi="Palatino Linotype"/>
        </w:rPr>
        <w:t>A</w:t>
      </w:r>
      <w:r w:rsidRPr="005A5B1E">
        <w:rPr>
          <w:rFonts w:ascii="Palatino Linotype" w:hAnsi="Palatino Linotype"/>
        </w:rPr>
        <w:t>gricultural or vacant land (excluding wetlands &gt; 2.5 acres) polygons were selected from the 2005 CMAP Land Use Inventory</w:t>
      </w:r>
      <w:r>
        <w:rPr>
          <w:rFonts w:ascii="Palatino Linotype" w:hAnsi="Palatino Linotype"/>
        </w:rPr>
        <w:t xml:space="preserve"> (LUI)</w:t>
      </w:r>
      <w:r w:rsidRPr="005A5B1E">
        <w:rPr>
          <w:rFonts w:ascii="Palatino Linotype" w:hAnsi="Palatino Linotype"/>
        </w:rPr>
        <w:t>. Polygons developed since 2005 were selected from the Development Database (</w:t>
      </w:r>
      <w:r>
        <w:rPr>
          <w:rFonts w:ascii="Palatino Linotype" w:hAnsi="Palatino Linotype"/>
        </w:rPr>
        <w:t xml:space="preserve">NDD, </w:t>
      </w:r>
      <w:r w:rsidRPr="005A5B1E">
        <w:rPr>
          <w:rFonts w:ascii="Palatino Linotype" w:hAnsi="Palatino Linotype"/>
        </w:rPr>
        <w:t xml:space="preserve">January 2010 shapefile) and “erased” through geoprocessing from the 2005 agricultural or vacant land. </w:t>
      </w:r>
      <w:r w:rsidR="00632D50">
        <w:rPr>
          <w:rFonts w:ascii="Palatino Linotype" w:hAnsi="Palatino Linotype"/>
        </w:rPr>
        <w:t xml:space="preserve"> </w:t>
      </w:r>
      <w:r w:rsidRPr="005A5B1E">
        <w:rPr>
          <w:rFonts w:ascii="Palatino Linotype" w:hAnsi="Palatino Linotype"/>
        </w:rPr>
        <w:t xml:space="preserve">This yielded an estimate of </w:t>
      </w:r>
      <w:r>
        <w:rPr>
          <w:rFonts w:ascii="Palatino Linotype" w:hAnsi="Palatino Linotype"/>
        </w:rPr>
        <w:t xml:space="preserve">available </w:t>
      </w:r>
      <w:r w:rsidRPr="005A5B1E">
        <w:rPr>
          <w:rFonts w:ascii="Palatino Linotype" w:hAnsi="Palatino Linotype"/>
        </w:rPr>
        <w:t xml:space="preserve">developable land in 2010 after aggregating to the township level. </w:t>
      </w:r>
    </w:p>
    <w:p w:rsidR="00932FB8" w:rsidRDefault="00932FB8" w:rsidP="00932FB8">
      <w:pPr>
        <w:pStyle w:val="ListParagraph"/>
        <w:numPr>
          <w:ilvl w:val="0"/>
          <w:numId w:val="10"/>
        </w:numPr>
        <w:spacing w:after="0" w:line="240" w:lineRule="auto"/>
        <w:rPr>
          <w:rFonts w:ascii="Palatino Linotype" w:hAnsi="Palatino Linotype"/>
        </w:rPr>
      </w:pPr>
      <w:r>
        <w:rPr>
          <w:rFonts w:ascii="Palatino Linotype" w:hAnsi="Palatino Linotype"/>
        </w:rPr>
        <w:t xml:space="preserve">Polygons from the NDD that had been developed since 2005 were added to the polygons identified as residential in the 2005 LUI. </w:t>
      </w:r>
      <w:r w:rsidR="00632D50">
        <w:rPr>
          <w:rFonts w:ascii="Palatino Linotype" w:hAnsi="Palatino Linotype"/>
        </w:rPr>
        <w:t xml:space="preserve"> </w:t>
      </w:r>
      <w:r>
        <w:rPr>
          <w:rFonts w:ascii="Palatino Linotype" w:hAnsi="Palatino Linotype"/>
        </w:rPr>
        <w:t xml:space="preserve">Aggregating the households in the 2010 subzone file to the township, then dividing by the estimate of 2010 residential </w:t>
      </w:r>
      <w:r>
        <w:rPr>
          <w:rFonts w:ascii="Palatino Linotype" w:hAnsi="Palatino Linotype"/>
        </w:rPr>
        <w:lastRenderedPageBreak/>
        <w:t xml:space="preserve">land yielded average residential density in 2010. </w:t>
      </w:r>
      <w:r w:rsidR="00632D50">
        <w:rPr>
          <w:rFonts w:ascii="Palatino Linotype" w:hAnsi="Palatino Linotype"/>
        </w:rPr>
        <w:t xml:space="preserve"> </w:t>
      </w:r>
      <w:r w:rsidRPr="00A64DC0">
        <w:rPr>
          <w:rFonts w:ascii="Palatino Linotype" w:hAnsi="Palatino Linotype"/>
        </w:rPr>
        <w:t>The parcels in NDD include more than just residential parcels, which makes overall density appear lower than it is, but the effect is small.</w:t>
      </w:r>
    </w:p>
    <w:p w:rsidR="00932FB8" w:rsidRDefault="00932FB8" w:rsidP="00932FB8">
      <w:pPr>
        <w:pStyle w:val="ListParagraph"/>
        <w:numPr>
          <w:ilvl w:val="0"/>
          <w:numId w:val="10"/>
        </w:numPr>
        <w:spacing w:after="0" w:line="240" w:lineRule="auto"/>
        <w:rPr>
          <w:rFonts w:ascii="Palatino Linotype" w:hAnsi="Palatino Linotype"/>
        </w:rPr>
      </w:pPr>
      <w:r w:rsidRPr="005A5B1E">
        <w:rPr>
          <w:rFonts w:ascii="Palatino Linotype" w:hAnsi="Palatino Linotype"/>
        </w:rPr>
        <w:t>An estimate of vacancy rates (i.e., 1 – households ÷ housing units) was developed for each</w:t>
      </w:r>
      <w:r>
        <w:rPr>
          <w:rFonts w:ascii="Palatino Linotype" w:hAnsi="Palatino Linotype"/>
        </w:rPr>
        <w:t xml:space="preserve"> township from the 2000 Census SF1 block file. </w:t>
      </w:r>
      <w:r w:rsidR="00632D50">
        <w:rPr>
          <w:rFonts w:ascii="Palatino Linotype" w:hAnsi="Palatino Linotype"/>
        </w:rPr>
        <w:t xml:space="preserve"> </w:t>
      </w:r>
      <w:r>
        <w:rPr>
          <w:rFonts w:ascii="Palatino Linotype" w:hAnsi="Palatino Linotype"/>
        </w:rPr>
        <w:t>Vacancy rates were assumed to be stable over the decade.</w:t>
      </w:r>
    </w:p>
    <w:p w:rsidR="00932FB8" w:rsidRDefault="00932FB8" w:rsidP="00932FB8">
      <w:pPr>
        <w:pStyle w:val="ListParagraph"/>
        <w:numPr>
          <w:ilvl w:val="0"/>
          <w:numId w:val="10"/>
        </w:numPr>
        <w:spacing w:after="0" w:line="240" w:lineRule="auto"/>
        <w:rPr>
          <w:rFonts w:ascii="Palatino Linotype" w:hAnsi="Palatino Linotype"/>
        </w:rPr>
      </w:pPr>
      <w:r>
        <w:rPr>
          <w:rFonts w:ascii="Palatino Linotype" w:hAnsi="Palatino Linotype"/>
        </w:rPr>
        <w:t xml:space="preserve">The upper bound acreage needed to accommodate new households by 2040 in each township was estimated by assuming density in 2040 would be at least equal to 2010 density and that existing vacancies would absorb some households.  </w:t>
      </w:r>
    </w:p>
    <w:p w:rsidR="00932FB8" w:rsidRDefault="00932FB8" w:rsidP="00932FB8">
      <w:pPr>
        <w:pStyle w:val="ListParagraph"/>
        <w:spacing w:after="0" w:line="240" w:lineRule="auto"/>
        <w:rPr>
          <w:rFonts w:ascii="Palatino Linotype" w:hAnsi="Palatino Linotype"/>
        </w:rPr>
      </w:pPr>
    </w:p>
    <w:p w:rsidR="00932FB8" w:rsidRDefault="00932FB8" w:rsidP="00932FB8">
      <w:pPr>
        <w:pStyle w:val="ListParagraph"/>
        <w:spacing w:after="0" w:line="240" w:lineRule="auto"/>
        <w:ind w:left="0"/>
        <w:rPr>
          <w:rFonts w:ascii="Palatino Linotype" w:hAnsi="Palatino Linotype"/>
        </w:rPr>
      </w:pPr>
      <w:r>
        <w:rPr>
          <w:rFonts w:ascii="Palatino Linotype" w:hAnsi="Palatino Linotype"/>
        </w:rPr>
        <w:t>The results of step 4 are shown in the map below as the ratio between the amount of land needed to accommodate new households on available land at 2010 densities and the amount of vacant land that is actually available for development.</w:t>
      </w:r>
      <w:r w:rsidR="00632D50">
        <w:rPr>
          <w:rFonts w:ascii="Palatino Linotype" w:hAnsi="Palatino Linotype"/>
        </w:rPr>
        <w:t xml:space="preserve"> </w:t>
      </w:r>
      <w:r>
        <w:rPr>
          <w:rFonts w:ascii="Palatino Linotype" w:hAnsi="Palatino Linotype"/>
        </w:rPr>
        <w:t xml:space="preserve"> If the ratio is greater than one, then some combination of (a) higher than current average densities for new development or (b) the redevelopment of non-vacant properties must take place.</w:t>
      </w:r>
      <w:r w:rsidR="00632D50">
        <w:rPr>
          <w:rFonts w:ascii="Palatino Linotype" w:hAnsi="Palatino Linotype"/>
        </w:rPr>
        <w:t xml:space="preserve"> </w:t>
      </w:r>
      <w:r>
        <w:rPr>
          <w:rFonts w:ascii="Palatino Linotype" w:hAnsi="Palatino Linotype"/>
        </w:rPr>
        <w:t xml:space="preserve"> For example, a township with a ratio of 3 would either need to develop at an average density 3 times greater than current or have some mix of higher density and redevelopment of non-vacant properties.</w:t>
      </w:r>
      <w:r w:rsidR="00632D50">
        <w:rPr>
          <w:rFonts w:ascii="Palatino Linotype" w:hAnsi="Palatino Linotype"/>
        </w:rPr>
        <w:t xml:space="preserve"> </w:t>
      </w:r>
      <w:r>
        <w:rPr>
          <w:rFonts w:ascii="Palatino Linotype" w:hAnsi="Palatino Linotype"/>
        </w:rPr>
        <w:t xml:space="preserve"> If the ratio is much higher than one, then substantial redevelopment of non-vacant properties is anticipated.</w:t>
      </w:r>
      <w:r w:rsidR="00632D50">
        <w:rPr>
          <w:rFonts w:ascii="Palatino Linotype" w:hAnsi="Palatino Linotype"/>
        </w:rPr>
        <w:t xml:space="preserve"> </w:t>
      </w:r>
      <w:r>
        <w:rPr>
          <w:rFonts w:ascii="Palatino Linotype" w:hAnsi="Palatino Linotype"/>
        </w:rPr>
        <w:t xml:space="preserve"> The density of replacement housing units is unknown, but it must of course be higher than average 2010 density. </w:t>
      </w:r>
    </w:p>
    <w:p w:rsidR="00932FB8" w:rsidRDefault="00932FB8" w:rsidP="00932FB8">
      <w:pPr>
        <w:pStyle w:val="ListParagraph"/>
        <w:spacing w:after="0" w:line="240" w:lineRule="auto"/>
        <w:ind w:left="0"/>
        <w:rPr>
          <w:rFonts w:ascii="Palatino Linotype" w:hAnsi="Palatino Linotype"/>
        </w:rPr>
      </w:pPr>
    </w:p>
    <w:p w:rsidR="00932FB8" w:rsidRDefault="00932FB8" w:rsidP="00932FB8">
      <w:pPr>
        <w:spacing w:after="0" w:line="240" w:lineRule="auto"/>
        <w:jc w:val="center"/>
        <w:rPr>
          <w:rFonts w:ascii="Palatino Linotype" w:hAnsi="Palatino Linotype"/>
        </w:rPr>
      </w:pPr>
      <w:r>
        <w:rPr>
          <w:rFonts w:ascii="Palatino Linotype" w:hAnsi="Palatino Linotype"/>
          <w:noProof/>
        </w:rPr>
        <w:drawing>
          <wp:inline distT="0" distB="0" distL="0" distR="0" wp14:anchorId="7721B0EC" wp14:editId="628D391B">
            <wp:extent cx="3592824" cy="2810108"/>
            <wp:effectExtent l="19050" t="0" r="7626" b="0"/>
            <wp:docPr id="25" name="Picture 5" descr="land_capa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_capacity.jpg"/>
                    <pic:cNvPicPr/>
                  </pic:nvPicPr>
                  <pic:blipFill>
                    <a:blip r:embed="rId45" cstate="print"/>
                    <a:srcRect l="3801" t="25507" r="12376" b="23768"/>
                    <a:stretch>
                      <a:fillRect/>
                    </a:stretch>
                  </pic:blipFill>
                  <pic:spPr>
                    <a:xfrm>
                      <a:off x="0" y="0"/>
                      <a:ext cx="3593400" cy="2810559"/>
                    </a:xfrm>
                    <a:prstGeom prst="rect">
                      <a:avLst/>
                    </a:prstGeom>
                  </pic:spPr>
                </pic:pic>
              </a:graphicData>
            </a:graphic>
          </wp:inline>
        </w:drawing>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rPr>
          <w:rFonts w:ascii="Palatino Linotype" w:hAnsi="Palatino Linotype"/>
        </w:rPr>
      </w:pPr>
      <w:r>
        <w:rPr>
          <w:rFonts w:ascii="Palatino Linotype" w:hAnsi="Palatino Linotype"/>
        </w:rPr>
        <w:lastRenderedPageBreak/>
        <w:t xml:space="preserve">More broadly, the areas where redevelopment is anticipated conforms to expectations. </w:t>
      </w:r>
      <w:r w:rsidR="00632D50">
        <w:rPr>
          <w:rFonts w:ascii="Palatino Linotype" w:hAnsi="Palatino Linotype"/>
        </w:rPr>
        <w:t xml:space="preserve"> </w:t>
      </w:r>
      <w:r>
        <w:rPr>
          <w:rFonts w:ascii="Palatino Linotype" w:hAnsi="Palatino Linotype"/>
        </w:rPr>
        <w:t>Little private sector redevelopment would be expected where land value is low; conversely, high land values should predict potential for redevelopment.</w:t>
      </w:r>
      <w:r w:rsidR="00632D50">
        <w:rPr>
          <w:rFonts w:ascii="Palatino Linotype" w:hAnsi="Palatino Linotype"/>
        </w:rPr>
        <w:t xml:space="preserve"> </w:t>
      </w:r>
      <w:r>
        <w:rPr>
          <w:rFonts w:ascii="Palatino Linotype" w:hAnsi="Palatino Linotype"/>
        </w:rPr>
        <w:t xml:space="preserve"> From the first scatter plot below, it can be seen that there is a positive relationship between the average value of land in the township and the ratio discussed above, although there is some noise in the relationship. </w:t>
      </w:r>
      <w:r w:rsidR="00632D50">
        <w:rPr>
          <w:rFonts w:ascii="Palatino Linotype" w:hAnsi="Palatino Linotype"/>
        </w:rPr>
        <w:t xml:space="preserve"> </w:t>
      </w:r>
      <w:r>
        <w:rPr>
          <w:rFonts w:ascii="Palatino Linotype" w:hAnsi="Palatino Linotype"/>
        </w:rPr>
        <w:t xml:space="preserve">Note that four outlier townships with very high ratios of land needed to available vacant land have been removed from the plot. </w:t>
      </w:r>
      <w:r w:rsidR="00632D50">
        <w:rPr>
          <w:rFonts w:ascii="Palatino Linotype" w:hAnsi="Palatino Linotype"/>
        </w:rPr>
        <w:t xml:space="preserve"> </w:t>
      </w:r>
      <w:r>
        <w:rPr>
          <w:rFonts w:ascii="Palatino Linotype" w:hAnsi="Palatino Linotype"/>
        </w:rPr>
        <w:t xml:space="preserve">The second scatter plot below compares projected household growth to per-acre land value. </w:t>
      </w:r>
      <w:r w:rsidR="00632D50">
        <w:rPr>
          <w:rFonts w:ascii="Palatino Linotype" w:hAnsi="Palatino Linotype"/>
        </w:rPr>
        <w:t xml:space="preserve"> </w:t>
      </w:r>
      <w:r>
        <w:rPr>
          <w:rFonts w:ascii="Palatino Linotype" w:hAnsi="Palatino Linotype"/>
        </w:rPr>
        <w:t>As expected, it can be seen that current land value predicts the need for density increases or redevelopment, but is not an especially good predictor for absolute population growth.</w:t>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jc w:val="center"/>
        <w:rPr>
          <w:rFonts w:ascii="Palatino Linotype" w:hAnsi="Palatino Linotype"/>
        </w:rPr>
      </w:pPr>
      <w:r w:rsidRPr="00EC707F">
        <w:rPr>
          <w:rFonts w:ascii="Palatino Linotype" w:hAnsi="Palatino Linotype"/>
          <w:noProof/>
        </w:rPr>
        <w:drawing>
          <wp:inline distT="0" distB="0" distL="0" distR="0" wp14:anchorId="5ED4A5E3" wp14:editId="1EECD094">
            <wp:extent cx="4572000" cy="2743200"/>
            <wp:effectExtent l="0" t="0" r="0" b="0"/>
            <wp:docPr id="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32FB8" w:rsidRDefault="00932FB8" w:rsidP="00932FB8">
      <w:pPr>
        <w:spacing w:after="0" w:line="240" w:lineRule="auto"/>
        <w:jc w:val="center"/>
        <w:rPr>
          <w:rFonts w:ascii="Palatino Linotype" w:hAnsi="Palatino Linotype"/>
        </w:rPr>
      </w:pPr>
      <w:r w:rsidRPr="00954569">
        <w:rPr>
          <w:rFonts w:ascii="Palatino Linotype" w:hAnsi="Palatino Linotype"/>
          <w:noProof/>
        </w:rPr>
        <w:lastRenderedPageBreak/>
        <w:drawing>
          <wp:inline distT="0" distB="0" distL="0" distR="0" wp14:anchorId="7E0A92CE" wp14:editId="76AEEF41">
            <wp:extent cx="4572000" cy="2743200"/>
            <wp:effectExtent l="0" t="0" r="0" b="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32FB8" w:rsidRPr="006677DD" w:rsidRDefault="00932FB8" w:rsidP="00932FB8">
      <w:pPr>
        <w:spacing w:after="0" w:line="240" w:lineRule="auto"/>
        <w:rPr>
          <w:rFonts w:ascii="Palatino Linotype" w:hAnsi="Palatino Linotype"/>
        </w:rPr>
      </w:pPr>
    </w:p>
    <w:p w:rsidR="00932FB8" w:rsidRPr="00457667" w:rsidRDefault="00932FB8" w:rsidP="00932FB8">
      <w:pPr>
        <w:spacing w:after="0" w:line="240" w:lineRule="auto"/>
        <w:rPr>
          <w:rFonts w:ascii="Palatino Linotype" w:hAnsi="Palatino Linotype"/>
          <w:i/>
        </w:rPr>
      </w:pPr>
      <w:r>
        <w:rPr>
          <w:rFonts w:ascii="Palatino Linotype" w:hAnsi="Palatino Linotype"/>
          <w:i/>
        </w:rPr>
        <w:t>Availability of infill opportunities</w:t>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rPr>
          <w:rFonts w:ascii="Palatino Linotype" w:hAnsi="Palatino Linotype"/>
        </w:rPr>
      </w:pPr>
      <w:r>
        <w:rPr>
          <w:rFonts w:ascii="Palatino Linotype" w:hAnsi="Palatino Linotype"/>
        </w:rPr>
        <w:t xml:space="preserve">As the household forecasts project redevelopment of non-vacant land, it is worth examining whether enough “soft sites” or underutilized land are available for redevelopment. </w:t>
      </w:r>
      <w:r w:rsidR="00632D50">
        <w:rPr>
          <w:rFonts w:ascii="Palatino Linotype" w:hAnsi="Palatino Linotype"/>
        </w:rPr>
        <w:t xml:space="preserve"> </w:t>
      </w:r>
      <w:r>
        <w:rPr>
          <w:rFonts w:ascii="Palatino Linotype" w:hAnsi="Palatino Linotype"/>
        </w:rPr>
        <w:t xml:space="preserve">The results of the investigation suggest that infill has a reasonable potential to accommodate much of the household growth. </w:t>
      </w:r>
      <w:r w:rsidR="00632D50">
        <w:rPr>
          <w:rFonts w:ascii="Palatino Linotype" w:hAnsi="Palatino Linotype"/>
        </w:rPr>
        <w:t xml:space="preserve"> </w:t>
      </w:r>
      <w:r>
        <w:rPr>
          <w:rFonts w:ascii="Palatino Linotype" w:hAnsi="Palatino Linotype"/>
        </w:rPr>
        <w:t xml:space="preserve">The work done for the Snapshot Report on Infill identified 184,967 acres of infill potential across the region. </w:t>
      </w:r>
      <w:r w:rsidR="00632D50">
        <w:rPr>
          <w:rFonts w:ascii="Palatino Linotype" w:hAnsi="Palatino Linotype"/>
        </w:rPr>
        <w:t xml:space="preserve"> </w:t>
      </w:r>
      <w:r>
        <w:rPr>
          <w:rFonts w:ascii="Palatino Linotype" w:hAnsi="Palatino Linotype"/>
        </w:rPr>
        <w:t xml:space="preserve">The data used to make the map on pp. 8-9 of the Infill snapshot were reanalyzed to get estimates of infill potential by township. </w:t>
      </w:r>
      <w:r w:rsidR="00632D50">
        <w:rPr>
          <w:rFonts w:ascii="Palatino Linotype" w:hAnsi="Palatino Linotype"/>
        </w:rPr>
        <w:t xml:space="preserve"> </w:t>
      </w:r>
      <w:r>
        <w:rPr>
          <w:rFonts w:ascii="Palatino Linotype" w:hAnsi="Palatino Linotype"/>
        </w:rPr>
        <w:t>Land with infill potential is that where the ratio of the assessed value of improvements to the assessed value of land is lower than a certain threshold (that threshold varying by property type or land use).</w:t>
      </w:r>
      <w:r w:rsidR="00632D50">
        <w:rPr>
          <w:rFonts w:ascii="Palatino Linotype" w:hAnsi="Palatino Linotype"/>
        </w:rPr>
        <w:t xml:space="preserve"> </w:t>
      </w:r>
      <w:r>
        <w:rPr>
          <w:rFonts w:ascii="Palatino Linotype" w:hAnsi="Palatino Linotype"/>
        </w:rPr>
        <w:t xml:space="preserve"> Thus, for land to have infill potential means that the economic returns from redevelopment with higher-value structures would be greater than the returns from the present use of the land.</w:t>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rPr>
          <w:rFonts w:ascii="Palatino Linotype" w:hAnsi="Palatino Linotype"/>
        </w:rPr>
      </w:pPr>
      <w:r>
        <w:rPr>
          <w:rFonts w:ascii="Palatino Linotype" w:hAnsi="Palatino Linotype"/>
        </w:rPr>
        <w:t xml:space="preserve">Infill estimates by township were developed as follows. </w:t>
      </w:r>
      <w:r w:rsidR="00632D50">
        <w:rPr>
          <w:rFonts w:ascii="Palatino Linotype" w:hAnsi="Palatino Linotype"/>
        </w:rPr>
        <w:t xml:space="preserve"> </w:t>
      </w:r>
      <w:r>
        <w:rPr>
          <w:rFonts w:ascii="Palatino Linotype" w:hAnsi="Palatino Linotype"/>
        </w:rPr>
        <w:t xml:space="preserve">The feature classes containing estimates of infill potential by county and property classification were merged into files of all properties in the county, excluding the vacant properties identified as having potential for infill since many (but not all) are presumably captured as vacant land in the 2005 LUI and would therefore be counted twice. </w:t>
      </w:r>
      <w:r w:rsidR="00632D50">
        <w:rPr>
          <w:rFonts w:ascii="Palatino Linotype" w:hAnsi="Palatino Linotype"/>
        </w:rPr>
        <w:t xml:space="preserve"> </w:t>
      </w:r>
      <w:r>
        <w:rPr>
          <w:rFonts w:ascii="Palatino Linotype" w:hAnsi="Palatino Linotype"/>
        </w:rPr>
        <w:t>The county files were then merged and then intersected with the townships.</w:t>
      </w:r>
      <w:r w:rsidR="00632D50">
        <w:rPr>
          <w:rFonts w:ascii="Palatino Linotype" w:hAnsi="Palatino Linotype"/>
        </w:rPr>
        <w:t xml:space="preserve"> </w:t>
      </w:r>
      <w:r>
        <w:rPr>
          <w:rFonts w:ascii="Palatino Linotype" w:hAnsi="Palatino Linotype"/>
        </w:rPr>
        <w:t xml:space="preserve"> Following that operation, polygons coded as </w:t>
      </w:r>
      <w:r>
        <w:rPr>
          <w:rFonts w:ascii="Palatino Linotype" w:hAnsi="Palatino Linotype"/>
        </w:rPr>
        <w:lastRenderedPageBreak/>
        <w:t xml:space="preserve">single family residential in the 2005 LUI were “erased” through geoprocessing. </w:t>
      </w:r>
      <w:r w:rsidR="00632D50">
        <w:rPr>
          <w:rFonts w:ascii="Palatino Linotype" w:hAnsi="Palatino Linotype"/>
        </w:rPr>
        <w:t xml:space="preserve"> </w:t>
      </w:r>
      <w:r>
        <w:rPr>
          <w:rFonts w:ascii="Palatino Linotype" w:hAnsi="Palatino Linotype"/>
        </w:rPr>
        <w:t xml:space="preserve">The acreage of infill potential was summarized on the township, revealing 177,325 acres of underutilized, non-vacant, non-single family land in the region, close to the estimate made in the Infill Snapshot. </w:t>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jc w:val="center"/>
        <w:rPr>
          <w:rFonts w:ascii="Palatino Linotype" w:hAnsi="Palatino Linotype"/>
        </w:rPr>
      </w:pPr>
      <w:r>
        <w:rPr>
          <w:rFonts w:ascii="Palatino Linotype" w:hAnsi="Palatino Linotype"/>
          <w:noProof/>
        </w:rPr>
        <w:drawing>
          <wp:inline distT="0" distB="0" distL="0" distR="0" wp14:anchorId="301D8BB9" wp14:editId="7885FC77">
            <wp:extent cx="3304013" cy="3265312"/>
            <wp:effectExtent l="19050" t="0" r="0" b="0"/>
            <wp:docPr id="31" name="Picture 3" descr="infill_by_t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ill_by_twp.jpg"/>
                    <pic:cNvPicPr/>
                  </pic:nvPicPr>
                  <pic:blipFill>
                    <a:blip r:embed="rId48" cstate="print"/>
                    <a:srcRect l="5680" t="16957" r="3745" b="13768"/>
                    <a:stretch>
                      <a:fillRect/>
                    </a:stretch>
                  </pic:blipFill>
                  <pic:spPr>
                    <a:xfrm>
                      <a:off x="0" y="0"/>
                      <a:ext cx="3308605" cy="3269850"/>
                    </a:xfrm>
                    <a:prstGeom prst="rect">
                      <a:avLst/>
                    </a:prstGeom>
                  </pic:spPr>
                </pic:pic>
              </a:graphicData>
            </a:graphic>
          </wp:inline>
        </w:drawing>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rPr>
          <w:rFonts w:ascii="Palatino Linotype" w:hAnsi="Palatino Linotype"/>
        </w:rPr>
      </w:pPr>
      <w:r>
        <w:rPr>
          <w:rFonts w:ascii="Palatino Linotype" w:hAnsi="Palatino Linotype"/>
        </w:rPr>
        <w:t xml:space="preserve">If the estimate of the amount and location of land with infill potential is approximately correct, it appears that a combination of higher densities in new development and redevelopment of non-vacant infill parcels can readily accommodate projected household growth. </w:t>
      </w:r>
      <w:r w:rsidR="00632D50">
        <w:rPr>
          <w:rFonts w:ascii="Palatino Linotype" w:hAnsi="Palatino Linotype"/>
        </w:rPr>
        <w:t xml:space="preserve"> </w:t>
      </w:r>
      <w:r>
        <w:rPr>
          <w:rFonts w:ascii="Palatino Linotype" w:hAnsi="Palatino Linotype"/>
        </w:rPr>
        <w:t>The table below shows the 32 townships where the ratio of land needed at 2010 densities is higher than the amount of land available.</w:t>
      </w:r>
      <w:r w:rsidR="00632D50">
        <w:rPr>
          <w:rFonts w:ascii="Palatino Linotype" w:hAnsi="Palatino Linotype"/>
        </w:rPr>
        <w:t xml:space="preserve"> </w:t>
      </w:r>
      <w:r>
        <w:rPr>
          <w:rFonts w:ascii="Palatino Linotype" w:hAnsi="Palatino Linotype"/>
        </w:rPr>
        <w:t xml:space="preserve"> In 21 of these townships, enough land with infill potential is present to satisfy the need. </w:t>
      </w:r>
      <w:r w:rsidR="00632D50">
        <w:rPr>
          <w:rFonts w:ascii="Palatino Linotype" w:hAnsi="Palatino Linotype"/>
        </w:rPr>
        <w:t xml:space="preserve"> </w:t>
      </w:r>
      <w:r>
        <w:rPr>
          <w:rFonts w:ascii="Palatino Linotype" w:hAnsi="Palatino Linotype"/>
        </w:rPr>
        <w:t xml:space="preserve">For the eleven that do not (in orange in the table below), however, recall that density in redevelopments will be higher than prevailing densities, so that less land will be needed than the upper bound estimate. </w:t>
      </w:r>
      <w:r w:rsidR="00632D50">
        <w:rPr>
          <w:rFonts w:ascii="Palatino Linotype" w:hAnsi="Palatino Linotype"/>
        </w:rPr>
        <w:t xml:space="preserve"> </w:t>
      </w:r>
      <w:r>
        <w:rPr>
          <w:rFonts w:ascii="Palatino Linotype" w:hAnsi="Palatino Linotype"/>
        </w:rPr>
        <w:t xml:space="preserve">Current residential densities in these eight townships range from only 1.56 to 3.85, so there is presumably room for density increases. </w:t>
      </w:r>
    </w:p>
    <w:p w:rsidR="00932FB8" w:rsidRDefault="00932FB8" w:rsidP="00932FB8">
      <w:pPr>
        <w:spacing w:after="0" w:line="240" w:lineRule="auto"/>
        <w:rPr>
          <w:rFonts w:ascii="Palatino Linotype" w:hAnsi="Palatino Linotype"/>
        </w:rPr>
      </w:pPr>
    </w:p>
    <w:p w:rsidR="00932FB8" w:rsidRDefault="00932FB8" w:rsidP="00932FB8">
      <w:pPr>
        <w:spacing w:after="0" w:line="240" w:lineRule="auto"/>
        <w:rPr>
          <w:rFonts w:ascii="Palatino Linotype" w:hAnsi="Palatino Linotype"/>
        </w:rPr>
      </w:pPr>
    </w:p>
    <w:tbl>
      <w:tblPr>
        <w:tblStyle w:val="TableGrid"/>
        <w:tblW w:w="0" w:type="auto"/>
        <w:tblLook w:val="04A0" w:firstRow="1" w:lastRow="0" w:firstColumn="1" w:lastColumn="0" w:noHBand="0" w:noVBand="1"/>
      </w:tblPr>
      <w:tblGrid>
        <w:gridCol w:w="960"/>
        <w:gridCol w:w="1122"/>
        <w:gridCol w:w="973"/>
        <w:gridCol w:w="1386"/>
        <w:gridCol w:w="1620"/>
        <w:gridCol w:w="1350"/>
        <w:gridCol w:w="1890"/>
      </w:tblGrid>
      <w:tr w:rsidR="00932FB8" w:rsidRPr="002649EC" w:rsidTr="00932FB8">
        <w:trPr>
          <w:trHeight w:val="300"/>
          <w:tblHeader/>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lastRenderedPageBreak/>
              <w:t>Twp</w:t>
            </w:r>
          </w:p>
        </w:tc>
        <w:tc>
          <w:tcPr>
            <w:tcW w:w="1122" w:type="dxa"/>
            <w:noWrap/>
            <w:hideMark/>
          </w:tcPr>
          <w:p w:rsidR="00932FB8" w:rsidRPr="002649EC" w:rsidRDefault="00932FB8" w:rsidP="00932FB8">
            <w:pPr>
              <w:rPr>
                <w:rFonts w:ascii="Palatino Linotype" w:hAnsi="Palatino Linotype"/>
              </w:rPr>
            </w:pPr>
            <w:r>
              <w:rPr>
                <w:rFonts w:ascii="Palatino Linotype" w:hAnsi="Palatino Linotype"/>
              </w:rPr>
              <w:t>Projected housing units</w:t>
            </w:r>
          </w:p>
        </w:tc>
        <w:tc>
          <w:tcPr>
            <w:tcW w:w="973" w:type="dxa"/>
            <w:noWrap/>
            <w:hideMark/>
          </w:tcPr>
          <w:p w:rsidR="00932FB8" w:rsidRPr="002649EC" w:rsidRDefault="00932FB8" w:rsidP="00932FB8">
            <w:pPr>
              <w:rPr>
                <w:rFonts w:ascii="Palatino Linotype" w:hAnsi="Palatino Linotype"/>
              </w:rPr>
            </w:pPr>
            <w:r>
              <w:rPr>
                <w:rFonts w:ascii="Palatino Linotype" w:hAnsi="Palatino Linotype"/>
              </w:rPr>
              <w:t>2010 density (du/ac)</w:t>
            </w:r>
            <w:r>
              <w:rPr>
                <w:rStyle w:val="FootnoteReference"/>
                <w:rFonts w:ascii="Palatino Linotype" w:hAnsi="Palatino Linotype"/>
              </w:rPr>
              <w:footnoteReference w:id="1"/>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Avail</w:t>
            </w:r>
            <w:r>
              <w:rPr>
                <w:rFonts w:ascii="Palatino Linotype" w:hAnsi="Palatino Linotype"/>
              </w:rPr>
              <w:t>able</w:t>
            </w:r>
            <w:r w:rsidRPr="002649EC">
              <w:rPr>
                <w:rFonts w:ascii="Palatino Linotype" w:hAnsi="Palatino Linotype"/>
              </w:rPr>
              <w:t xml:space="preserve"> vacant</w:t>
            </w:r>
            <w:r>
              <w:rPr>
                <w:rFonts w:ascii="Palatino Linotype" w:hAnsi="Palatino Linotype"/>
              </w:rPr>
              <w:t xml:space="preserve"> land (ac)</w:t>
            </w:r>
          </w:p>
        </w:tc>
        <w:tc>
          <w:tcPr>
            <w:tcW w:w="1620" w:type="dxa"/>
            <w:noWrap/>
            <w:hideMark/>
          </w:tcPr>
          <w:p w:rsidR="00932FB8" w:rsidRPr="002649EC" w:rsidRDefault="00932FB8" w:rsidP="00932FB8">
            <w:pPr>
              <w:rPr>
                <w:rFonts w:ascii="Palatino Linotype" w:hAnsi="Palatino Linotype"/>
              </w:rPr>
            </w:pPr>
            <w:r>
              <w:rPr>
                <w:rFonts w:ascii="Palatino Linotype" w:hAnsi="Palatino Linotype"/>
              </w:rPr>
              <w:t>Land</w:t>
            </w:r>
            <w:r w:rsidRPr="002649EC">
              <w:rPr>
                <w:rFonts w:ascii="Palatino Linotype" w:hAnsi="Palatino Linotype"/>
              </w:rPr>
              <w:t xml:space="preserve"> needed</w:t>
            </w:r>
            <w:r>
              <w:rPr>
                <w:rFonts w:ascii="Palatino Linotype" w:hAnsi="Palatino Linotype"/>
              </w:rPr>
              <w:t xml:space="preserve"> at 2010 density (ac)</w:t>
            </w:r>
          </w:p>
        </w:tc>
        <w:tc>
          <w:tcPr>
            <w:tcW w:w="1350" w:type="dxa"/>
            <w:noWrap/>
            <w:hideMark/>
          </w:tcPr>
          <w:p w:rsidR="00932FB8" w:rsidRPr="002649EC" w:rsidRDefault="00932FB8" w:rsidP="00932FB8">
            <w:pPr>
              <w:rPr>
                <w:rFonts w:ascii="Palatino Linotype" w:hAnsi="Palatino Linotype"/>
              </w:rPr>
            </w:pPr>
            <w:r>
              <w:rPr>
                <w:rFonts w:ascii="Palatino Linotype" w:hAnsi="Palatino Linotype"/>
              </w:rPr>
              <w:t>Available – Needed</w:t>
            </w:r>
          </w:p>
        </w:tc>
        <w:tc>
          <w:tcPr>
            <w:tcW w:w="1890" w:type="dxa"/>
            <w:noWrap/>
            <w:hideMark/>
          </w:tcPr>
          <w:p w:rsidR="00932FB8" w:rsidRPr="002649EC" w:rsidRDefault="00932FB8" w:rsidP="00932FB8">
            <w:pPr>
              <w:rPr>
                <w:rFonts w:ascii="Palatino Linotype" w:hAnsi="Palatino Linotype"/>
              </w:rPr>
            </w:pPr>
            <w:r w:rsidRPr="002649EC">
              <w:rPr>
                <w:rFonts w:ascii="Palatino Linotype" w:hAnsi="Palatino Linotype"/>
              </w:rPr>
              <w:t xml:space="preserve">Non-vacant </w:t>
            </w:r>
            <w:r>
              <w:rPr>
                <w:rFonts w:ascii="Palatino Linotype" w:hAnsi="Palatino Linotype"/>
              </w:rPr>
              <w:t xml:space="preserve">land with </w:t>
            </w:r>
            <w:r w:rsidRPr="002649EC">
              <w:rPr>
                <w:rFonts w:ascii="Palatino Linotype" w:hAnsi="Palatino Linotype"/>
              </w:rPr>
              <w:t>infill</w:t>
            </w:r>
            <w:r>
              <w:rPr>
                <w:rFonts w:ascii="Palatino Linotype" w:hAnsi="Palatino Linotype"/>
              </w:rPr>
              <w:t xml:space="preserve"> potential</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4312</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9,097</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2.12</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622</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4,295</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-3,673</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1,307</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3811</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13,001</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3.18</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512</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4,091</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-3,579</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509</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3709</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19,448</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1.93</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6,685</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10,058</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-3,374</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444</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3810</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11,704</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3.55</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816</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3,298</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-2,482</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512</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3512</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14,969</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1.90</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5,615</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7,866</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-2,252</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871</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4213</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6,958</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3.17</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33</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2,197</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-2,164</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377</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3911</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8,395</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3.67</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643</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2,288</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-1,646</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1,091</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4113</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9,462</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6.47</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121</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1,463</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-1,341</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2,778</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4212</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6,598</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2.97</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888</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2,220</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-1,332</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4,777</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4112</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7,347</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5.53</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120</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1,328</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-1,207</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3,226</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4211</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7,248</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4.27</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636</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1,698</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-1,062</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2,676</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3912</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6,156</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5.53</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185</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1,114</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-929</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3,142</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3910</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4,620</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3.43</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453</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1,348</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-895</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513</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4013</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12,402</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12.98</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164</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956</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-792</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2,114</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3808</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17,170</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4.99</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2,666</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3,440</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-774</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2,679</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3513</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19,638</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3.06</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5,662</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6,417</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-755</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4,328</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4210</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4,550</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3.30</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674</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1,378</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-704</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3,972</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4014</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27,320</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36.68</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42</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745</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-703</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1,684</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4011</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6,273</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3.85</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960</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1,628</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-668</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502</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4010</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6,528</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3.72</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1,101</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1,756</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-654</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417</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4311</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6,489</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2.40</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2,150</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2,703</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-553</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2,032</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4012</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6,013</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7.00</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510</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859</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-349</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3,662</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4111</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4,472</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5.38</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534</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832</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-298</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9,657</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3613</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8,496</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3.52</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2,161</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2,415</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-254</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1,921</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3713</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5,695</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5.12</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870</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1,112</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-243</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2,847</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lastRenderedPageBreak/>
              <w:t>4114</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3,646</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24.60</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0</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148</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-148</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256</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4008</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4,598</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1.68</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2,597</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2,742</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-145</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1,553</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4108</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11,323</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4.13</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2,609</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2,741</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-132</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2,474</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4110</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5,612</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4.53</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1,113</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1,238</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-125</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3,140</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4313</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212</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1.56</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15</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135</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-121</w:t>
            </w:r>
          </w:p>
        </w:tc>
        <w:tc>
          <w:tcPr>
            <w:tcW w:w="1890" w:type="dxa"/>
            <w:shd w:val="clear" w:color="auto" w:fill="FBD4B4" w:themeFill="accent6" w:themeFillTint="66"/>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11</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3809</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9,698</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4.31</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2,213</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2,251</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-38</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717</w:t>
            </w:r>
          </w:p>
        </w:tc>
      </w:tr>
      <w:tr w:rsidR="00932FB8" w:rsidRPr="002649EC" w:rsidTr="00932FB8">
        <w:trPr>
          <w:trHeight w:val="300"/>
        </w:trPr>
        <w:tc>
          <w:tcPr>
            <w:tcW w:w="960" w:type="dxa"/>
            <w:noWrap/>
            <w:hideMark/>
          </w:tcPr>
          <w:p w:rsidR="00932FB8" w:rsidRPr="002649EC" w:rsidRDefault="00932FB8" w:rsidP="00932FB8">
            <w:pPr>
              <w:rPr>
                <w:rFonts w:ascii="Palatino Linotype" w:hAnsi="Palatino Linotype"/>
              </w:rPr>
            </w:pPr>
            <w:r w:rsidRPr="002649EC">
              <w:rPr>
                <w:rFonts w:ascii="Palatino Linotype" w:hAnsi="Palatino Linotype"/>
              </w:rPr>
              <w:t>3914</w:t>
            </w:r>
          </w:p>
        </w:tc>
        <w:tc>
          <w:tcPr>
            <w:tcW w:w="1122" w:type="dxa"/>
            <w:noWrap/>
            <w:hideMark/>
          </w:tcPr>
          <w:p w:rsidR="00932FB8" w:rsidRPr="002649EC" w:rsidRDefault="00932FB8" w:rsidP="00932FB8">
            <w:pPr>
              <w:rPr>
                <w:rFonts w:ascii="Palatino Linotype" w:hAnsi="Palatino Linotype"/>
              </w:rPr>
            </w:pPr>
            <w:r w:rsidRPr="002649EC">
              <w:rPr>
                <w:rFonts w:ascii="Palatino Linotype" w:hAnsi="Palatino Linotype"/>
              </w:rPr>
              <w:t>21,251</w:t>
            </w:r>
          </w:p>
        </w:tc>
        <w:tc>
          <w:tcPr>
            <w:tcW w:w="973" w:type="dxa"/>
            <w:noWrap/>
            <w:hideMark/>
          </w:tcPr>
          <w:p w:rsidR="00932FB8" w:rsidRPr="002649EC" w:rsidRDefault="00932FB8" w:rsidP="00932FB8">
            <w:pPr>
              <w:rPr>
                <w:rFonts w:ascii="Palatino Linotype" w:hAnsi="Palatino Linotype"/>
              </w:rPr>
            </w:pPr>
            <w:r w:rsidRPr="002649EC">
              <w:rPr>
                <w:rFonts w:ascii="Palatino Linotype" w:hAnsi="Palatino Linotype"/>
              </w:rPr>
              <w:t>37.66</w:t>
            </w:r>
          </w:p>
        </w:tc>
        <w:tc>
          <w:tcPr>
            <w:tcW w:w="1386" w:type="dxa"/>
            <w:noWrap/>
            <w:hideMark/>
          </w:tcPr>
          <w:p w:rsidR="00932FB8" w:rsidRPr="002649EC" w:rsidRDefault="00932FB8" w:rsidP="00932FB8">
            <w:pPr>
              <w:rPr>
                <w:rFonts w:ascii="Palatino Linotype" w:hAnsi="Palatino Linotype"/>
              </w:rPr>
            </w:pPr>
            <w:r w:rsidRPr="002649EC">
              <w:rPr>
                <w:rFonts w:ascii="Palatino Linotype" w:hAnsi="Palatino Linotype"/>
              </w:rPr>
              <w:t>563</w:t>
            </w:r>
          </w:p>
        </w:tc>
        <w:tc>
          <w:tcPr>
            <w:tcW w:w="1620" w:type="dxa"/>
            <w:noWrap/>
            <w:hideMark/>
          </w:tcPr>
          <w:p w:rsidR="00932FB8" w:rsidRPr="002649EC" w:rsidRDefault="00932FB8" w:rsidP="00932FB8">
            <w:pPr>
              <w:rPr>
                <w:rFonts w:ascii="Palatino Linotype" w:hAnsi="Palatino Linotype"/>
              </w:rPr>
            </w:pPr>
            <w:r w:rsidRPr="002649EC">
              <w:rPr>
                <w:rFonts w:ascii="Palatino Linotype" w:hAnsi="Palatino Linotype"/>
              </w:rPr>
              <w:t>564</w:t>
            </w:r>
          </w:p>
        </w:tc>
        <w:tc>
          <w:tcPr>
            <w:tcW w:w="1350" w:type="dxa"/>
            <w:noWrap/>
            <w:hideMark/>
          </w:tcPr>
          <w:p w:rsidR="00932FB8" w:rsidRPr="002649EC" w:rsidRDefault="00932FB8" w:rsidP="00932FB8">
            <w:pPr>
              <w:rPr>
                <w:rFonts w:ascii="Palatino Linotype" w:hAnsi="Palatino Linotype"/>
              </w:rPr>
            </w:pPr>
            <w:r w:rsidRPr="002649EC">
              <w:rPr>
                <w:rFonts w:ascii="Palatino Linotype" w:hAnsi="Palatino Linotype"/>
              </w:rPr>
              <w:t>-1</w:t>
            </w:r>
          </w:p>
        </w:tc>
        <w:tc>
          <w:tcPr>
            <w:tcW w:w="1890" w:type="dxa"/>
            <w:shd w:val="clear" w:color="auto" w:fill="auto"/>
            <w:noWrap/>
            <w:vAlign w:val="bottom"/>
            <w:hideMark/>
          </w:tcPr>
          <w:p w:rsidR="00932FB8" w:rsidRPr="009906AC" w:rsidRDefault="00932FB8" w:rsidP="00932FB8">
            <w:pPr>
              <w:rPr>
                <w:rFonts w:ascii="Palatino Linotype" w:hAnsi="Palatino Linotype"/>
                <w:color w:val="000000"/>
                <w:szCs w:val="20"/>
              </w:rPr>
            </w:pPr>
            <w:r w:rsidRPr="009906AC">
              <w:rPr>
                <w:rFonts w:ascii="Palatino Linotype" w:hAnsi="Palatino Linotype"/>
                <w:color w:val="000000"/>
                <w:szCs w:val="20"/>
              </w:rPr>
              <w:t>3,480</w:t>
            </w:r>
          </w:p>
        </w:tc>
      </w:tr>
    </w:tbl>
    <w:p w:rsidR="00932FB8" w:rsidRDefault="00932FB8" w:rsidP="00932FB8">
      <w:pPr>
        <w:spacing w:after="0" w:line="240" w:lineRule="auto"/>
        <w:rPr>
          <w:rFonts w:ascii="Palatino Linotype" w:hAnsi="Palatino Linotype"/>
        </w:rPr>
      </w:pPr>
    </w:p>
    <w:p w:rsidR="00932FB8" w:rsidRPr="005A5B1E" w:rsidRDefault="00932FB8" w:rsidP="00932FB8">
      <w:pPr>
        <w:spacing w:after="0" w:line="240" w:lineRule="auto"/>
        <w:rPr>
          <w:rFonts w:ascii="Palatino Linotype" w:hAnsi="Palatino Linotype"/>
        </w:rPr>
      </w:pPr>
    </w:p>
    <w:p w:rsidR="00932FB8" w:rsidRPr="00F915EA" w:rsidRDefault="00932FB8" w:rsidP="00932FB8">
      <w:pPr>
        <w:spacing w:after="0" w:line="240" w:lineRule="auto"/>
        <w:jc w:val="center"/>
        <w:rPr>
          <w:rFonts w:ascii="Palatino Linotype" w:hAnsi="Palatino Linotype"/>
        </w:rPr>
      </w:pPr>
    </w:p>
    <w:p w:rsidR="00932FB8" w:rsidRDefault="00932FB8" w:rsidP="00932FB8">
      <w:pPr>
        <w:rPr>
          <w:rFonts w:ascii="Palatino Linotype" w:hAnsi="Palatino Linotype"/>
        </w:rPr>
      </w:pPr>
    </w:p>
    <w:p w:rsidR="005D2EE6" w:rsidRDefault="005D2EE6">
      <w:pPr>
        <w:rPr>
          <w:rFonts w:ascii="Palatino Linotype" w:eastAsiaTheme="majorEastAsia" w:hAnsi="Palatino Linotype" w:cstheme="majorBidi"/>
          <w:b/>
          <w:bCs/>
          <w:color w:val="4F81BD" w:themeColor="accent1"/>
          <w:sz w:val="26"/>
          <w:szCs w:val="26"/>
        </w:rPr>
      </w:pPr>
      <w:r>
        <w:rPr>
          <w:rFonts w:ascii="Palatino Linotype" w:hAnsi="Palatino Linotype"/>
        </w:rPr>
        <w:br w:type="page"/>
      </w:r>
    </w:p>
    <w:p w:rsidR="00ED5FC9" w:rsidRDefault="00D6516C" w:rsidP="00ED5FC9">
      <w:pPr>
        <w:pStyle w:val="Heading2"/>
        <w:rPr>
          <w:rFonts w:ascii="Palatino Linotype" w:hAnsi="Palatino Linotype"/>
        </w:rPr>
      </w:pPr>
      <w:bookmarkStart w:id="70" w:name="_Toc284935564"/>
      <w:r>
        <w:rPr>
          <w:rFonts w:ascii="Palatino Linotype" w:hAnsi="Palatino Linotype"/>
        </w:rPr>
        <w:lastRenderedPageBreak/>
        <w:t xml:space="preserve">Appendix F: </w:t>
      </w:r>
      <w:r w:rsidR="00632D50">
        <w:rPr>
          <w:rFonts w:ascii="Palatino Linotype" w:hAnsi="Palatino Linotype"/>
        </w:rPr>
        <w:t xml:space="preserve"> </w:t>
      </w:r>
      <w:r>
        <w:rPr>
          <w:rFonts w:ascii="Palatino Linotype" w:hAnsi="Palatino Linotype"/>
        </w:rPr>
        <w:t>Travel d</w:t>
      </w:r>
      <w:r w:rsidR="00ED5FC9">
        <w:rPr>
          <w:rFonts w:ascii="Palatino Linotype" w:hAnsi="Palatino Linotype"/>
        </w:rPr>
        <w:t xml:space="preserve">emand </w:t>
      </w:r>
      <w:r>
        <w:rPr>
          <w:rFonts w:ascii="Palatino Linotype" w:hAnsi="Palatino Linotype"/>
        </w:rPr>
        <w:t>m</w:t>
      </w:r>
      <w:r w:rsidR="00ED5FC9">
        <w:rPr>
          <w:rFonts w:ascii="Palatino Linotype" w:hAnsi="Palatino Linotype"/>
        </w:rPr>
        <w:t xml:space="preserve">odel </w:t>
      </w:r>
      <w:r>
        <w:rPr>
          <w:rFonts w:ascii="Palatino Linotype" w:hAnsi="Palatino Linotype"/>
        </w:rPr>
        <w:t>s</w:t>
      </w:r>
      <w:r w:rsidR="00ED5FC9">
        <w:rPr>
          <w:rFonts w:ascii="Palatino Linotype" w:hAnsi="Palatino Linotype"/>
        </w:rPr>
        <w:t>ummaries</w:t>
      </w:r>
      <w:bookmarkEnd w:id="69"/>
      <w:bookmarkEnd w:id="70"/>
    </w:p>
    <w:p w:rsidR="00ED5FC9" w:rsidRPr="007C4C15" w:rsidRDefault="00ED5FC9" w:rsidP="00ED5FC9">
      <w:pPr>
        <w:rPr>
          <w:rFonts w:ascii="Palatino Linotype" w:hAnsi="Palatino Linotype"/>
        </w:rPr>
      </w:pPr>
      <w:r w:rsidRPr="007C4C15">
        <w:rPr>
          <w:rFonts w:ascii="Palatino Linotype" w:hAnsi="Palatino Linotype"/>
        </w:rPr>
        <w:t xml:space="preserve">The first and most intensive use of the 2040 socioeconomic forecasts is to demonstrate that the long range plan and transportation improvement program conform to the State Implementation Plan (SIP) for Air Quality.  This appendix provides tabular summaries taken from CMAP travel demand model output.  </w:t>
      </w:r>
    </w:p>
    <w:p w:rsidR="00ED5FC9" w:rsidRPr="007C4C15" w:rsidRDefault="00ED5FC9" w:rsidP="00ED5FC9">
      <w:pPr>
        <w:rPr>
          <w:rFonts w:ascii="Palatino Linotype" w:hAnsi="Palatino Linotype"/>
        </w:rPr>
      </w:pPr>
      <w:r w:rsidRPr="007C4C15">
        <w:rPr>
          <w:rFonts w:ascii="Palatino Linotype" w:hAnsi="Palatino Linotype"/>
        </w:rPr>
        <w:t>To facilitate your evaluation, the tables are embedded as Microsoft Excel Spreadsheets.  For each category of model output, the primary table compares summaries from each analysis year associated with the air quality conformity demonstration.</w:t>
      </w:r>
      <w:r w:rsidR="00D156B4">
        <w:rPr>
          <w:rFonts w:ascii="Palatino Linotype" w:hAnsi="Palatino Linotype"/>
        </w:rPr>
        <w:t xml:space="preserve">  Note that the summary geography varies slightly from other t</w:t>
      </w:r>
      <w:r w:rsidR="00896CE8">
        <w:rPr>
          <w:rFonts w:ascii="Palatino Linotype" w:hAnsi="Palatino Linotype"/>
        </w:rPr>
        <w:t>ables in this document.</w:t>
      </w:r>
    </w:p>
    <w:p w:rsidR="00ED5FC9" w:rsidRPr="00F0511F" w:rsidRDefault="00ED5FC9" w:rsidP="00ED5FC9"/>
    <w:p w:rsidR="00ED5FC9" w:rsidRDefault="00ED5FC9" w:rsidP="00ED5FC9">
      <w:pPr>
        <w:rPr>
          <w:rFonts w:ascii="Palatino Linotype" w:eastAsiaTheme="majorEastAsia" w:hAnsi="Palatino Linotype" w:cstheme="majorBidi"/>
          <w:b/>
          <w:bCs/>
          <w:color w:val="365F91" w:themeColor="accent1" w:themeShade="BF"/>
          <w:sz w:val="28"/>
          <w:szCs w:val="28"/>
        </w:rPr>
      </w:pPr>
      <w:r>
        <w:rPr>
          <w:rFonts w:ascii="Palatino Linotype" w:hAnsi="Palatino Linotype"/>
        </w:rPr>
        <w:br w:type="page"/>
      </w:r>
    </w:p>
    <w:p w:rsidR="00ED5FC9" w:rsidRDefault="000505E1" w:rsidP="00ED5FC9">
      <w:pPr>
        <w:pStyle w:val="Heading3"/>
        <w:rPr>
          <w:rFonts w:ascii="Palatino Linotype" w:hAnsi="Palatino Linotype"/>
        </w:rPr>
      </w:pPr>
      <w:bookmarkStart w:id="71" w:name="_Toc284935565"/>
      <w:r>
        <w:rPr>
          <w:rFonts w:ascii="Palatino Linotype" w:hAnsi="Palatino Linotype"/>
        </w:rPr>
        <w:lastRenderedPageBreak/>
        <w:t xml:space="preserve">F1. </w:t>
      </w:r>
      <w:r w:rsidR="00632D50">
        <w:rPr>
          <w:rFonts w:ascii="Palatino Linotype" w:hAnsi="Palatino Linotype"/>
        </w:rPr>
        <w:t xml:space="preserve"> </w:t>
      </w:r>
      <w:r w:rsidR="00ED5FC9">
        <w:rPr>
          <w:rFonts w:ascii="Palatino Linotype" w:hAnsi="Palatino Linotype"/>
        </w:rPr>
        <w:t xml:space="preserve">Trip </w:t>
      </w:r>
      <w:r>
        <w:rPr>
          <w:rFonts w:ascii="Palatino Linotype" w:hAnsi="Palatino Linotype"/>
        </w:rPr>
        <w:t>g</w:t>
      </w:r>
      <w:r w:rsidR="00ED5FC9">
        <w:rPr>
          <w:rFonts w:ascii="Palatino Linotype" w:hAnsi="Palatino Linotype"/>
        </w:rPr>
        <w:t>eneration</w:t>
      </w:r>
      <w:bookmarkEnd w:id="71"/>
    </w:p>
    <w:p w:rsidR="00ED5FC9" w:rsidRPr="00FB55AD" w:rsidRDefault="00ED5FC9" w:rsidP="00ED5FC9">
      <w:pPr>
        <w:rPr>
          <w:rFonts w:ascii="Palatino Linotype" w:hAnsi="Palatino Linotype"/>
        </w:rPr>
      </w:pPr>
      <w:r w:rsidRPr="00FB55AD">
        <w:rPr>
          <w:rFonts w:ascii="Palatino Linotype" w:hAnsi="Palatino Linotype"/>
        </w:rPr>
        <w:t>Trip generation data reflects the travel activity generated by socioeconomic and land use forecasts at the subzone (approximately ¼ square mile) level.  The table below is sum</w:t>
      </w:r>
      <w:r w:rsidR="00F23F01" w:rsidRPr="00FB55AD">
        <w:rPr>
          <w:rFonts w:ascii="Palatino Linotype" w:hAnsi="Palatino Linotype"/>
        </w:rPr>
        <w:t>med to the 7-county CMAP region plus Aux Sable Township in Grundy County.</w:t>
      </w:r>
    </w:p>
    <w:p w:rsidR="0037118D" w:rsidRPr="009A421B" w:rsidRDefault="0037118D" w:rsidP="0037118D">
      <w:pPr>
        <w:pStyle w:val="Caption"/>
      </w:pPr>
      <w:bookmarkStart w:id="72" w:name="_Toc284935638"/>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15</w:t>
      </w:r>
      <w:r w:rsidR="003344CA">
        <w:rPr>
          <w:noProof/>
        </w:rPr>
        <w:fldChar w:fldCharType="end"/>
      </w:r>
      <w:r w:rsidRPr="009A421B">
        <w:t xml:space="preserve">: </w:t>
      </w:r>
      <w:r w:rsidR="001F1569">
        <w:t xml:space="preserve"> </w:t>
      </w:r>
      <w:r w:rsidRPr="009A421B">
        <w:t>Trip Generation Summary</w:t>
      </w:r>
      <w:bookmarkEnd w:id="72"/>
    </w:p>
    <w:p w:rsidR="00ED5FC9" w:rsidRPr="00337E5D" w:rsidRDefault="001731C3" w:rsidP="00ED5FC9">
      <w:r>
        <w:object w:dxaOrig="16182" w:dyaOrig="9898">
          <v:shape id="_x0000_i1026" type="#_x0000_t75" style="width:579.75pt;height:354pt" o:ole="">
            <v:imagedata r:id="rId49" o:title=""/>
          </v:shape>
          <o:OLEObject Type="Embed" ProgID="Excel.Sheet.12" ShapeID="_x0000_i1026" DrawAspect="Content" ObjectID="_1434805484" r:id="rId50"/>
        </w:object>
      </w:r>
    </w:p>
    <w:p w:rsidR="00ED5FC9" w:rsidRDefault="000505E1" w:rsidP="00ED5FC9">
      <w:pPr>
        <w:pStyle w:val="Heading3"/>
        <w:rPr>
          <w:rFonts w:ascii="Palatino Linotype" w:hAnsi="Palatino Linotype"/>
        </w:rPr>
      </w:pPr>
      <w:bookmarkStart w:id="73" w:name="_Toc284935566"/>
      <w:r>
        <w:rPr>
          <w:rFonts w:ascii="Palatino Linotype" w:hAnsi="Palatino Linotype"/>
        </w:rPr>
        <w:lastRenderedPageBreak/>
        <w:t xml:space="preserve">F2. </w:t>
      </w:r>
      <w:r w:rsidR="00632D50">
        <w:rPr>
          <w:rFonts w:ascii="Palatino Linotype" w:hAnsi="Palatino Linotype"/>
        </w:rPr>
        <w:t xml:space="preserve"> </w:t>
      </w:r>
      <w:r w:rsidR="00ED5FC9">
        <w:rPr>
          <w:rFonts w:ascii="Palatino Linotype" w:hAnsi="Palatino Linotype"/>
        </w:rPr>
        <w:t xml:space="preserve">Network </w:t>
      </w:r>
      <w:r>
        <w:rPr>
          <w:rFonts w:ascii="Palatino Linotype" w:hAnsi="Palatino Linotype"/>
        </w:rPr>
        <w:t>s</w:t>
      </w:r>
      <w:r w:rsidR="00ED5FC9">
        <w:rPr>
          <w:rFonts w:ascii="Palatino Linotype" w:hAnsi="Palatino Linotype"/>
        </w:rPr>
        <w:t>upply</w:t>
      </w:r>
      <w:bookmarkEnd w:id="73"/>
    </w:p>
    <w:p w:rsidR="00ED5FC9" w:rsidRPr="00FB55AD" w:rsidRDefault="00ED5FC9" w:rsidP="00ED5FC9">
      <w:pPr>
        <w:rPr>
          <w:rFonts w:ascii="Palatino Linotype" w:hAnsi="Palatino Linotype"/>
        </w:rPr>
      </w:pPr>
      <w:r w:rsidRPr="00FB55AD">
        <w:rPr>
          <w:rFonts w:ascii="Palatino Linotype" w:hAnsi="Palatino Linotype"/>
        </w:rPr>
        <w:t>Network supply is a coded representation of the highway and transit infrastructure.  Highway data are summed by major facility type.  Directional miles are roughly twice the centerline miles.  Highway lane miles weight the directional miles by the number of lanes in each direction and serve as a common proxy for capacity.  The bus and rail transit networks are summed by segment length covered by each mode.</w:t>
      </w:r>
    </w:p>
    <w:p w:rsidR="0037118D" w:rsidRPr="009A421B" w:rsidRDefault="0037118D" w:rsidP="0037118D">
      <w:pPr>
        <w:pStyle w:val="Caption"/>
      </w:pPr>
      <w:bookmarkStart w:id="74" w:name="_Toc284935639"/>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16</w:t>
      </w:r>
      <w:r w:rsidR="003344CA">
        <w:rPr>
          <w:noProof/>
        </w:rPr>
        <w:fldChar w:fldCharType="end"/>
      </w:r>
      <w:r w:rsidRPr="009A421B">
        <w:t xml:space="preserve">: </w:t>
      </w:r>
      <w:r w:rsidR="001F1569">
        <w:t xml:space="preserve"> </w:t>
      </w:r>
      <w:r w:rsidRPr="009A421B">
        <w:t>Network Supply</w:t>
      </w:r>
      <w:bookmarkEnd w:id="74"/>
    </w:p>
    <w:p w:rsidR="00ED5FC9" w:rsidRPr="00996B2B" w:rsidRDefault="003E6C61" w:rsidP="00ED5FC9">
      <w:r>
        <w:object w:dxaOrig="8977" w:dyaOrig="2631">
          <v:shape id="_x0000_i1027" type="#_x0000_t75" style="width:448.5pt;height:132pt" o:ole="">
            <v:imagedata r:id="rId51" o:title=""/>
          </v:shape>
          <o:OLEObject Type="Embed" ProgID="Excel.Sheet.12" ShapeID="_x0000_i1027" DrawAspect="Content" ObjectID="_1434805485" r:id="rId52"/>
        </w:object>
      </w:r>
    </w:p>
    <w:p w:rsidR="00ED5FC9" w:rsidRDefault="00ED5FC9" w:rsidP="00ED5FC9">
      <w:pPr>
        <w:rPr>
          <w:rFonts w:eastAsiaTheme="majorEastAsia" w:cstheme="majorBidi"/>
          <w:color w:val="365F91" w:themeColor="accent1" w:themeShade="BF"/>
          <w:sz w:val="28"/>
          <w:szCs w:val="28"/>
        </w:rPr>
      </w:pPr>
      <w:r>
        <w:br w:type="page"/>
      </w:r>
    </w:p>
    <w:p w:rsidR="00ED5FC9" w:rsidRDefault="000505E1" w:rsidP="00ED5FC9">
      <w:pPr>
        <w:pStyle w:val="Heading3"/>
        <w:rPr>
          <w:rFonts w:ascii="Palatino Linotype" w:hAnsi="Palatino Linotype"/>
        </w:rPr>
      </w:pPr>
      <w:bookmarkStart w:id="75" w:name="_Toc284935567"/>
      <w:r>
        <w:rPr>
          <w:rFonts w:ascii="Palatino Linotype" w:hAnsi="Palatino Linotype"/>
        </w:rPr>
        <w:lastRenderedPageBreak/>
        <w:t xml:space="preserve">F3. </w:t>
      </w:r>
      <w:r w:rsidR="001F1569">
        <w:rPr>
          <w:rFonts w:ascii="Palatino Linotype" w:hAnsi="Palatino Linotype"/>
        </w:rPr>
        <w:t xml:space="preserve"> </w:t>
      </w:r>
      <w:r w:rsidR="00ED5FC9">
        <w:rPr>
          <w:rFonts w:ascii="Palatino Linotype" w:hAnsi="Palatino Linotype"/>
        </w:rPr>
        <w:t xml:space="preserve">Transit </w:t>
      </w:r>
      <w:r>
        <w:rPr>
          <w:rFonts w:ascii="Palatino Linotype" w:hAnsi="Palatino Linotype"/>
        </w:rPr>
        <w:t>l</w:t>
      </w:r>
      <w:r w:rsidR="00ED5FC9">
        <w:rPr>
          <w:rFonts w:ascii="Palatino Linotype" w:hAnsi="Palatino Linotype"/>
        </w:rPr>
        <w:t xml:space="preserve">evel of </w:t>
      </w:r>
      <w:r>
        <w:rPr>
          <w:rFonts w:ascii="Palatino Linotype" w:hAnsi="Palatino Linotype"/>
        </w:rPr>
        <w:t>s</w:t>
      </w:r>
      <w:r w:rsidR="00ED5FC9">
        <w:rPr>
          <w:rFonts w:ascii="Palatino Linotype" w:hAnsi="Palatino Linotype"/>
        </w:rPr>
        <w:t>ervice</w:t>
      </w:r>
      <w:bookmarkEnd w:id="75"/>
    </w:p>
    <w:p w:rsidR="00ED5FC9" w:rsidRPr="00FB55AD" w:rsidRDefault="00ED5FC9" w:rsidP="00ED5FC9">
      <w:pPr>
        <w:rPr>
          <w:rFonts w:ascii="Palatino Linotype" w:hAnsi="Palatino Linotype"/>
        </w:rPr>
      </w:pPr>
      <w:r w:rsidRPr="00FB55AD">
        <w:rPr>
          <w:rFonts w:ascii="Palatino Linotype" w:hAnsi="Palatino Linotype"/>
        </w:rPr>
        <w:t xml:space="preserve">Transit Level of Service is the coded representation of public transit schedules during the a.m. peak period.  Modeled interaction between these schedules and trip generation are the significant determinants of transit ridership forecasts. </w:t>
      </w:r>
    </w:p>
    <w:p w:rsidR="0037118D" w:rsidRPr="009A421B" w:rsidRDefault="0037118D" w:rsidP="0037118D">
      <w:pPr>
        <w:pStyle w:val="Caption"/>
      </w:pPr>
      <w:bookmarkStart w:id="76" w:name="_Toc284935640"/>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17</w:t>
      </w:r>
      <w:r w:rsidR="003344CA">
        <w:rPr>
          <w:noProof/>
        </w:rPr>
        <w:fldChar w:fldCharType="end"/>
      </w:r>
      <w:r w:rsidRPr="009A421B">
        <w:t>:</w:t>
      </w:r>
      <w:r w:rsidR="001F1569">
        <w:t xml:space="preserve"> </w:t>
      </w:r>
      <w:r w:rsidRPr="009A421B">
        <w:t xml:space="preserve"> Transit Level of Service</w:t>
      </w:r>
      <w:bookmarkEnd w:id="76"/>
    </w:p>
    <w:p w:rsidR="00ED5FC9" w:rsidRDefault="00B96D7E" w:rsidP="00ED5FC9">
      <w:pPr>
        <w:rPr>
          <w:rFonts w:ascii="Palatino Linotype" w:eastAsiaTheme="majorEastAsia" w:hAnsi="Palatino Linotype" w:cstheme="majorBidi"/>
          <w:b/>
          <w:bCs/>
          <w:color w:val="365F91" w:themeColor="accent1" w:themeShade="BF"/>
          <w:sz w:val="28"/>
          <w:szCs w:val="28"/>
        </w:rPr>
      </w:pPr>
      <w:r w:rsidRPr="003C1086">
        <w:rPr>
          <w:rFonts w:ascii="Palatino Linotype" w:hAnsi="Palatino Linotype"/>
        </w:rPr>
        <w:object w:dxaOrig="11137" w:dyaOrig="9594">
          <v:shape id="_x0000_i1028" type="#_x0000_t75" style="width:405.75pt;height:349.5pt" o:ole="">
            <v:imagedata r:id="rId53" o:title=""/>
          </v:shape>
          <o:OLEObject Type="Embed" ProgID="Excel.Sheet.12" ShapeID="_x0000_i1028" DrawAspect="Content" ObjectID="_1434805486" r:id="rId54"/>
        </w:object>
      </w:r>
      <w:r w:rsidR="00ED5FC9">
        <w:rPr>
          <w:rFonts w:ascii="Palatino Linotype" w:hAnsi="Palatino Linotype"/>
        </w:rPr>
        <w:br w:type="page"/>
      </w:r>
    </w:p>
    <w:p w:rsidR="00ED5FC9" w:rsidRDefault="000505E1" w:rsidP="00ED5FC9">
      <w:pPr>
        <w:pStyle w:val="Heading3"/>
        <w:rPr>
          <w:rFonts w:ascii="Palatino Linotype" w:hAnsi="Palatino Linotype"/>
        </w:rPr>
      </w:pPr>
      <w:bookmarkStart w:id="77" w:name="_Toc284935568"/>
      <w:r>
        <w:rPr>
          <w:rFonts w:ascii="Palatino Linotype" w:hAnsi="Palatino Linotype"/>
        </w:rPr>
        <w:lastRenderedPageBreak/>
        <w:t xml:space="preserve">F4. </w:t>
      </w:r>
      <w:r w:rsidR="001F1569">
        <w:rPr>
          <w:rFonts w:ascii="Palatino Linotype" w:hAnsi="Palatino Linotype"/>
        </w:rPr>
        <w:t xml:space="preserve"> </w:t>
      </w:r>
      <w:r w:rsidR="00ED5FC9">
        <w:rPr>
          <w:rFonts w:ascii="Palatino Linotype" w:hAnsi="Palatino Linotype"/>
        </w:rPr>
        <w:t xml:space="preserve">Trip </w:t>
      </w:r>
      <w:r>
        <w:rPr>
          <w:rFonts w:ascii="Palatino Linotype" w:hAnsi="Palatino Linotype"/>
        </w:rPr>
        <w:t>t</w:t>
      </w:r>
      <w:r w:rsidR="00ED5FC9">
        <w:rPr>
          <w:rFonts w:ascii="Palatino Linotype" w:hAnsi="Palatino Linotype"/>
        </w:rPr>
        <w:t>ables</w:t>
      </w:r>
      <w:bookmarkEnd w:id="77"/>
    </w:p>
    <w:p w:rsidR="00ED5FC9" w:rsidRPr="00FB55AD" w:rsidRDefault="00ED5FC9" w:rsidP="00ED5FC9">
      <w:pPr>
        <w:rPr>
          <w:rFonts w:ascii="Palatino Linotype" w:hAnsi="Palatino Linotype"/>
        </w:rPr>
      </w:pPr>
      <w:r w:rsidRPr="00FB55AD">
        <w:rPr>
          <w:rFonts w:ascii="Palatino Linotype" w:hAnsi="Palatino Linotype"/>
        </w:rPr>
        <w:t>Trip tables are the result of modeled interactions between trip generation and network supply.  These take the form of large matrix datasets that compare travel costs and benefits between zone pairs and estimate travel by highway and transit modes.</w:t>
      </w:r>
    </w:p>
    <w:p w:rsidR="0037118D" w:rsidRPr="009A421B" w:rsidRDefault="0037118D" w:rsidP="0037118D">
      <w:pPr>
        <w:pStyle w:val="Caption"/>
      </w:pPr>
      <w:bookmarkStart w:id="78" w:name="_Toc284935641"/>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18</w:t>
      </w:r>
      <w:r w:rsidR="003344CA">
        <w:rPr>
          <w:noProof/>
        </w:rPr>
        <w:fldChar w:fldCharType="end"/>
      </w:r>
      <w:r w:rsidRPr="009A421B">
        <w:t xml:space="preserve">: </w:t>
      </w:r>
      <w:r w:rsidR="001F1569">
        <w:t xml:space="preserve"> </w:t>
      </w:r>
      <w:r w:rsidRPr="009A421B">
        <w:t>Trip tables</w:t>
      </w:r>
      <w:bookmarkEnd w:id="78"/>
    </w:p>
    <w:p w:rsidR="00ED5FC9" w:rsidRDefault="00ED5FC9" w:rsidP="00ED5FC9">
      <w:pPr>
        <w:rPr>
          <w:rFonts w:ascii="Palatino Linotype" w:eastAsiaTheme="majorEastAsia" w:hAnsi="Palatino Linotype" w:cstheme="majorBidi"/>
          <w:b/>
          <w:bCs/>
          <w:color w:val="365F91" w:themeColor="accent1" w:themeShade="BF"/>
          <w:sz w:val="28"/>
          <w:szCs w:val="28"/>
        </w:rPr>
      </w:pPr>
      <w:r w:rsidRPr="003E6236">
        <w:rPr>
          <w:rFonts w:ascii="Palatino Linotype" w:hAnsi="Palatino Linotype"/>
        </w:rPr>
        <w:object w:dxaOrig="14017" w:dyaOrig="9173">
          <v:shape id="_x0000_i1029" type="#_x0000_t75" style="width:571.5pt;height:375pt" o:ole="">
            <v:imagedata r:id="rId55" o:title=""/>
          </v:shape>
          <o:OLEObject Type="Embed" ProgID="Excel.Sheet.12" ShapeID="_x0000_i1029" DrawAspect="Content" ObjectID="_1434805487" r:id="rId56"/>
        </w:object>
      </w:r>
      <w:r>
        <w:rPr>
          <w:rFonts w:ascii="Palatino Linotype" w:hAnsi="Palatino Linotype"/>
        </w:rPr>
        <w:br w:type="page"/>
      </w:r>
    </w:p>
    <w:p w:rsidR="00ED5FC9" w:rsidRDefault="000505E1" w:rsidP="00ED5FC9">
      <w:pPr>
        <w:pStyle w:val="Heading3"/>
        <w:rPr>
          <w:rFonts w:ascii="Palatino Linotype" w:hAnsi="Palatino Linotype"/>
        </w:rPr>
      </w:pPr>
      <w:bookmarkStart w:id="79" w:name="_Toc284935569"/>
      <w:r>
        <w:rPr>
          <w:rFonts w:ascii="Palatino Linotype" w:hAnsi="Palatino Linotype"/>
        </w:rPr>
        <w:lastRenderedPageBreak/>
        <w:t>F5.</w:t>
      </w:r>
      <w:r w:rsidR="001F1569">
        <w:rPr>
          <w:rFonts w:ascii="Palatino Linotype" w:hAnsi="Palatino Linotype"/>
        </w:rPr>
        <w:t xml:space="preserve"> </w:t>
      </w:r>
      <w:r>
        <w:rPr>
          <w:rFonts w:ascii="Palatino Linotype" w:hAnsi="Palatino Linotype"/>
        </w:rPr>
        <w:t xml:space="preserve"> </w:t>
      </w:r>
      <w:r w:rsidR="00ED5FC9">
        <w:rPr>
          <w:rFonts w:ascii="Palatino Linotype" w:hAnsi="Palatino Linotype"/>
        </w:rPr>
        <w:t xml:space="preserve">Highway </w:t>
      </w:r>
      <w:r>
        <w:rPr>
          <w:rFonts w:ascii="Palatino Linotype" w:hAnsi="Palatino Linotype"/>
        </w:rPr>
        <w:t>l</w:t>
      </w:r>
      <w:r w:rsidR="00ED5FC9">
        <w:rPr>
          <w:rFonts w:ascii="Palatino Linotype" w:hAnsi="Palatino Linotype"/>
        </w:rPr>
        <w:t xml:space="preserve">evel of </w:t>
      </w:r>
      <w:r>
        <w:rPr>
          <w:rFonts w:ascii="Palatino Linotype" w:hAnsi="Palatino Linotype"/>
        </w:rPr>
        <w:t>s</w:t>
      </w:r>
      <w:r w:rsidR="00ED5FC9">
        <w:rPr>
          <w:rFonts w:ascii="Palatino Linotype" w:hAnsi="Palatino Linotype"/>
        </w:rPr>
        <w:t>ervice</w:t>
      </w:r>
      <w:bookmarkEnd w:id="79"/>
    </w:p>
    <w:p w:rsidR="00ED5FC9" w:rsidRPr="00FB55AD" w:rsidRDefault="00ED5FC9" w:rsidP="00ED5FC9">
      <w:pPr>
        <w:rPr>
          <w:rFonts w:ascii="Palatino Linotype" w:hAnsi="Palatino Linotype"/>
        </w:rPr>
      </w:pPr>
      <w:r w:rsidRPr="00FB55AD">
        <w:rPr>
          <w:rFonts w:ascii="Palatino Linotype" w:hAnsi="Palatino Linotype"/>
        </w:rPr>
        <w:t>Highway level of service is the result of modeled interactions between trip tables and the highway network.  Vehicle miles and hours of travel in the CMAP region under congested conditions and by trucks are summed.  These data are a significant input to the estimated mobiles source emissions for the region.</w:t>
      </w:r>
    </w:p>
    <w:p w:rsidR="0037118D" w:rsidRPr="009A421B" w:rsidRDefault="0037118D" w:rsidP="0037118D">
      <w:pPr>
        <w:pStyle w:val="Caption"/>
      </w:pPr>
      <w:bookmarkStart w:id="80" w:name="_Toc284935642"/>
      <w:r w:rsidRPr="009A421B">
        <w:t xml:space="preserve">Figure </w:t>
      </w:r>
      <w:r w:rsidR="003344CA">
        <w:fldChar w:fldCharType="begin"/>
      </w:r>
      <w:r w:rsidR="003344CA">
        <w:instrText xml:space="preserve"> SEQ Figure \* ARABIC </w:instrText>
      </w:r>
      <w:r w:rsidR="003344CA">
        <w:fldChar w:fldCharType="separate"/>
      </w:r>
      <w:r w:rsidR="009B0830" w:rsidRPr="009A421B">
        <w:rPr>
          <w:noProof/>
        </w:rPr>
        <w:t>19</w:t>
      </w:r>
      <w:r w:rsidR="003344CA">
        <w:rPr>
          <w:noProof/>
        </w:rPr>
        <w:fldChar w:fldCharType="end"/>
      </w:r>
      <w:r w:rsidRPr="009A421B">
        <w:t>:</w:t>
      </w:r>
      <w:r w:rsidR="001F1569">
        <w:t xml:space="preserve"> </w:t>
      </w:r>
      <w:r w:rsidRPr="009A421B">
        <w:t xml:space="preserve"> Highway Level of Service</w:t>
      </w:r>
      <w:bookmarkEnd w:id="80"/>
    </w:p>
    <w:p w:rsidR="00ED5FC9" w:rsidRDefault="00ED5FC9" w:rsidP="00ED5FC9">
      <w:pPr>
        <w:rPr>
          <w:rFonts w:eastAsiaTheme="majorEastAsia" w:cstheme="majorBidi"/>
          <w:color w:val="365F91" w:themeColor="accent1" w:themeShade="BF"/>
          <w:sz w:val="28"/>
          <w:szCs w:val="28"/>
        </w:rPr>
      </w:pPr>
      <w:r>
        <w:object w:dxaOrig="16407" w:dyaOrig="7572">
          <v:shape id="_x0000_i1030" type="#_x0000_t75" style="width:632.25pt;height:292.5pt" o:ole="">
            <v:imagedata r:id="rId57" o:title=""/>
          </v:shape>
          <o:OLEObject Type="Embed" ProgID="Excel.Sheet.12" ShapeID="_x0000_i1030" DrawAspect="Content" ObjectID="_1434805488" r:id="rId58"/>
        </w:object>
      </w:r>
    </w:p>
    <w:p w:rsidR="00CB3918" w:rsidRDefault="00CB3918" w:rsidP="00ED5FC9"/>
    <w:p w:rsidR="005825B8" w:rsidRDefault="005825B8" w:rsidP="00ED5FC9"/>
    <w:sectPr w:rsidR="005825B8" w:rsidSect="000D154D">
      <w:pgSz w:w="15840" w:h="12240" w:orient="landscape"/>
      <w:pgMar w:top="1008"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5F2" w:rsidRDefault="005255F2" w:rsidP="00B63C5C">
      <w:pPr>
        <w:spacing w:after="0" w:line="240" w:lineRule="auto"/>
      </w:pPr>
      <w:r>
        <w:separator/>
      </w:r>
    </w:p>
  </w:endnote>
  <w:endnote w:type="continuationSeparator" w:id="0">
    <w:p w:rsidR="005255F2" w:rsidRDefault="005255F2" w:rsidP="00B63C5C">
      <w:pPr>
        <w:spacing w:after="0" w:line="240" w:lineRule="auto"/>
      </w:pPr>
      <w:r>
        <w:continuationSeparator/>
      </w:r>
    </w:p>
  </w:endnote>
  <w:endnote w:id="1">
    <w:p w:rsidR="005255F2" w:rsidRDefault="005255F2">
      <w:pPr>
        <w:pStyle w:val="EndnoteText"/>
      </w:pPr>
      <w:r>
        <w:rPr>
          <w:rStyle w:val="EndnoteReference"/>
        </w:rPr>
        <w:endnoteRef/>
      </w:r>
      <w:r>
        <w:t xml:space="preserve">  Often referred to as the “commuter-shed.”  The 2000 Census estimates that approximately </w:t>
      </w:r>
      <w:r w:rsidRPr="00FB55AD">
        <w:t>2.7%</w:t>
      </w:r>
      <w:r>
        <w:t xml:space="preserve"> of the daily commutes in the 21-county modeling region cross the modeling region’s border.</w:t>
      </w:r>
    </w:p>
    <w:p w:rsidR="005255F2" w:rsidRDefault="005255F2">
      <w:pPr>
        <w:pStyle w:val="EndnoteText"/>
      </w:pPr>
    </w:p>
  </w:endnote>
  <w:endnote w:id="2">
    <w:p w:rsidR="005255F2" w:rsidRDefault="005255F2">
      <w:pPr>
        <w:pStyle w:val="EndnoteText"/>
      </w:pPr>
      <w:r>
        <w:rPr>
          <w:rStyle w:val="EndnoteReference"/>
        </w:rPr>
        <w:endnoteRef/>
      </w:r>
      <w:r>
        <w:t xml:space="preserve">  Mathematically: pop</w:t>
      </w:r>
      <w:r w:rsidRPr="00D80F20">
        <w:rPr>
          <w:vertAlign w:val="subscript"/>
        </w:rPr>
        <w:t>t1</w:t>
      </w:r>
      <w:r>
        <w:t xml:space="preserve"> = pop</w:t>
      </w:r>
      <w:r w:rsidRPr="00D80F20">
        <w:rPr>
          <w:vertAlign w:val="subscript"/>
        </w:rPr>
        <w:t>t0</w:t>
      </w:r>
      <w:r>
        <w:t xml:space="preserve"> + ((pop</w:t>
      </w:r>
      <w:r w:rsidRPr="00D80F20">
        <w:rPr>
          <w:vertAlign w:val="subscript"/>
        </w:rPr>
        <w:t>t8</w:t>
      </w:r>
      <w:r>
        <w:t xml:space="preserve"> – pop</w:t>
      </w:r>
      <w:r w:rsidRPr="00D80F20">
        <w:rPr>
          <w:vertAlign w:val="subscript"/>
        </w:rPr>
        <w:t>t0</w:t>
      </w:r>
      <w:r>
        <w:t>)/9)  + (pop</w:t>
      </w:r>
      <w:r w:rsidRPr="00D80F20">
        <w:rPr>
          <w:vertAlign w:val="subscript"/>
        </w:rPr>
        <w:t>t1</w:t>
      </w:r>
      <w:r>
        <w:t xml:space="preserve"> – pop</w:t>
      </w:r>
      <w:r w:rsidRPr="00D80F20">
        <w:rPr>
          <w:vertAlign w:val="subscript"/>
        </w:rPr>
        <w:t>t0</w:t>
      </w:r>
      <w:r>
        <w:t>) *pop</w:t>
      </w:r>
      <w:r w:rsidRPr="00D80F20">
        <w:rPr>
          <w:vertAlign w:val="subscript"/>
        </w:rPr>
        <w:t>t0</w:t>
      </w:r>
      <w:r>
        <w:t>_ca/pop</w:t>
      </w:r>
      <w:r w:rsidRPr="00D80F20">
        <w:rPr>
          <w:vertAlign w:val="subscript"/>
        </w:rPr>
        <w:t>t0</w:t>
      </w:r>
      <w:r>
        <w:t xml:space="preserve">) * parameter.  Where pop = MCD population, pop_ca = Community Area estimate, t equals year as numbered.  The parameter value is found by observing its effect on the CA’s sum to the MCD total.  Achieving an exact match will result in a straight line.  The parameter value is altered judiciously to preserve the observed sine wave. </w:t>
      </w:r>
    </w:p>
    <w:p w:rsidR="005255F2" w:rsidRDefault="005255F2">
      <w:pPr>
        <w:pStyle w:val="EndnoteText"/>
      </w:pPr>
    </w:p>
  </w:endnote>
  <w:endnote w:id="3">
    <w:p w:rsidR="005255F2" w:rsidRPr="000505E1" w:rsidRDefault="005255F2" w:rsidP="000505E1">
      <w:pPr>
        <w:rPr>
          <w:rFonts w:cstheme="minorHAnsi"/>
          <w:i/>
          <w:sz w:val="20"/>
          <w:szCs w:val="20"/>
        </w:rPr>
      </w:pPr>
      <w:r w:rsidRPr="0037118D">
        <w:rPr>
          <w:rStyle w:val="EndnoteReference"/>
          <w:rFonts w:cstheme="minorHAnsi"/>
          <w:sz w:val="20"/>
          <w:szCs w:val="20"/>
        </w:rPr>
        <w:endnoteRef/>
      </w:r>
      <w:r w:rsidRPr="0037118D">
        <w:rPr>
          <w:rFonts w:cstheme="minorHAnsi"/>
          <w:sz w:val="20"/>
          <w:szCs w:val="20"/>
        </w:rPr>
        <w:t xml:space="preserve"> </w:t>
      </w:r>
      <w:r>
        <w:rPr>
          <w:rFonts w:cstheme="minorHAnsi"/>
          <w:sz w:val="20"/>
          <w:szCs w:val="20"/>
        </w:rPr>
        <w:t xml:space="preserve"> </w:t>
      </w:r>
      <w:r w:rsidRPr="0037118D">
        <w:rPr>
          <w:rFonts w:cstheme="minorHAnsi"/>
          <w:sz w:val="20"/>
          <w:szCs w:val="20"/>
        </w:rPr>
        <w:t>This is a significant methodological departure from past regional planning practice in which future land use patterns were inventoried at the municipal level and incorporated into a regional forecast subject to exogenous control totals.  We recognize that many determinants of future regional patterns occur outside the realm of regional planning policy.  We also admit to significant uncertainty about future conditions.  We have chosen to refrain from guessing at these conditions in favor of preparing scenario-based forecasts that highlight anticipated benefits of responsible regional planning</w:t>
      </w:r>
      <w:r w:rsidRPr="0037118D">
        <w:rPr>
          <w:rFonts w:cstheme="minorHAnsi"/>
          <w:i/>
          <w:sz w:val="20"/>
          <w:szCs w:val="20"/>
        </w:rPr>
        <w:t>.</w:t>
      </w:r>
    </w:p>
  </w:endnote>
  <w:endnote w:id="4">
    <w:p w:rsidR="005255F2" w:rsidRDefault="005255F2">
      <w:pPr>
        <w:pStyle w:val="EndnoteText"/>
      </w:pPr>
      <w:r>
        <w:rPr>
          <w:rStyle w:val="EndnoteReference"/>
        </w:rPr>
        <w:endnoteRef/>
      </w:r>
      <w:r>
        <w:t xml:space="preserve">  The proposal for a South Suburban Airport is included as a land use assumption in the preferred scenario.</w:t>
      </w:r>
    </w:p>
    <w:p w:rsidR="005255F2" w:rsidRDefault="005255F2">
      <w:pPr>
        <w:pStyle w:val="EndnoteText"/>
      </w:pPr>
    </w:p>
    <w:p w:rsidR="005255F2" w:rsidRDefault="005255F2">
      <w:pPr>
        <w:pStyle w:val="EndnoteText"/>
      </w:pPr>
    </w:p>
    <w:p w:rsidR="004B1FC8" w:rsidRDefault="004B1FC8">
      <w:pPr>
        <w:pStyle w:val="EndnoteText"/>
      </w:pPr>
      <w:r>
        <w:rPr>
          <w:noProof/>
        </w:rPr>
        <w:drawing>
          <wp:inline distT="0" distB="0" distL="0" distR="0">
            <wp:extent cx="8229600" cy="63595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11-0023 CMAP Socioeconomic Inventory Validation and Forecasting Method2.jpg"/>
                    <pic:cNvPicPr/>
                  </pic:nvPicPr>
                  <pic:blipFill>
                    <a:blip r:embed="rId1">
                      <a:extLst>
                        <a:ext uri="{28A0092B-C50C-407E-A947-70E740481C1C}">
                          <a14:useLocalDpi xmlns:a14="http://schemas.microsoft.com/office/drawing/2010/main" val="0"/>
                        </a:ext>
                      </a:extLst>
                    </a:blip>
                    <a:stretch>
                      <a:fillRect/>
                    </a:stretch>
                  </pic:blipFill>
                  <pic:spPr>
                    <a:xfrm>
                      <a:off x="0" y="0"/>
                      <a:ext cx="8229600" cy="6359525"/>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5F2" w:rsidRDefault="005255F2" w:rsidP="004C1E30">
    <w:pPr>
      <w:pStyle w:val="Footer"/>
      <w:jc w:val="center"/>
    </w:pPr>
    <w:r>
      <w:br/>
    </w:r>
    <w:sdt>
      <w:sdtPr>
        <w:id w:val="1008711016"/>
        <w:docPartObj>
          <w:docPartGallery w:val="Page Numbers (Bottom of Page)"/>
          <w:docPartUnique/>
        </w:docPartObj>
      </w:sdtPr>
      <w:sdtEndPr/>
      <w:sdtContent>
        <w:r>
          <w:fldChar w:fldCharType="begin"/>
        </w:r>
        <w:r>
          <w:instrText xml:space="preserve"> PAGE   \* MERGEFORMAT </w:instrText>
        </w:r>
        <w:r>
          <w:fldChar w:fldCharType="separate"/>
        </w:r>
        <w:r w:rsidR="003344CA">
          <w:rPr>
            <w:noProof/>
          </w:rPr>
          <w:t>47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5F2" w:rsidRDefault="005255F2" w:rsidP="00B63C5C">
      <w:pPr>
        <w:spacing w:after="0" w:line="240" w:lineRule="auto"/>
      </w:pPr>
      <w:r>
        <w:separator/>
      </w:r>
    </w:p>
  </w:footnote>
  <w:footnote w:type="continuationSeparator" w:id="0">
    <w:p w:rsidR="005255F2" w:rsidRDefault="005255F2" w:rsidP="00B63C5C">
      <w:pPr>
        <w:spacing w:after="0" w:line="240" w:lineRule="auto"/>
      </w:pPr>
      <w:r>
        <w:continuationSeparator/>
      </w:r>
    </w:p>
  </w:footnote>
  <w:footnote w:id="1">
    <w:p w:rsidR="005255F2" w:rsidRDefault="005255F2" w:rsidP="00932FB8">
      <w:pPr>
        <w:pStyle w:val="FootnoteText"/>
      </w:pPr>
      <w:r>
        <w:rPr>
          <w:rStyle w:val="FootnoteReference"/>
        </w:rPr>
        <w:footnoteRef/>
      </w:r>
      <w:r>
        <w:t xml:space="preserve"> Note that this is residential density, i.e., the number of households in a township divided by the estimated area of residential land in the township.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2029406448"/>
      <w:dataBinding w:prefixMappings="xmlns:ns0='http://schemas.openxmlformats.org/package/2006/metadata/core-properties' xmlns:ns1='http://purl.org/dc/elements/1.1/'" w:xpath="/ns0:coreProperties[1]/ns1:title[1]" w:storeItemID="{6C3C8BC8-F283-45AE-878A-BAB7291924A1}"/>
      <w:text/>
    </w:sdtPr>
    <w:sdtEndPr/>
    <w:sdtContent>
      <w:p w:rsidR="005255F2" w:rsidRDefault="005255F2">
        <w:pPr>
          <w:pStyle w:val="Header"/>
          <w:pBdr>
            <w:between w:val="single" w:sz="4" w:space="1" w:color="4F81BD" w:themeColor="accent1"/>
          </w:pBdr>
          <w:spacing w:line="276" w:lineRule="auto"/>
          <w:jc w:val="center"/>
        </w:pPr>
        <w:r>
          <w:t>CMAP Socioeconomic Inventory Validation and Forecasting Method</w:t>
        </w:r>
      </w:p>
    </w:sdtContent>
  </w:sdt>
  <w:p w:rsidR="005255F2" w:rsidRDefault="005255F2">
    <w:pPr>
      <w:pStyle w:val="Header"/>
      <w:pBdr>
        <w:between w:val="single" w:sz="4" w:space="1" w:color="4F81BD" w:themeColor="accent1"/>
      </w:pBdr>
      <w:spacing w:line="276" w:lineRule="auto"/>
      <w:jc w:val="center"/>
    </w:pPr>
  </w:p>
  <w:p w:rsidR="005255F2" w:rsidRPr="00B63C5C" w:rsidRDefault="005255F2" w:rsidP="00B63C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3130C"/>
    <w:multiLevelType w:val="hybridMultilevel"/>
    <w:tmpl w:val="3A42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314D58"/>
    <w:multiLevelType w:val="hybridMultilevel"/>
    <w:tmpl w:val="D4A8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285C3E"/>
    <w:multiLevelType w:val="hybridMultilevel"/>
    <w:tmpl w:val="0F84A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B7F81"/>
    <w:multiLevelType w:val="hybridMultilevel"/>
    <w:tmpl w:val="994C8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E35147D"/>
    <w:multiLevelType w:val="hybridMultilevel"/>
    <w:tmpl w:val="5C54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781FE8"/>
    <w:multiLevelType w:val="hybridMultilevel"/>
    <w:tmpl w:val="853E4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316AA8"/>
    <w:multiLevelType w:val="hybridMultilevel"/>
    <w:tmpl w:val="D832B8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1076A06"/>
    <w:multiLevelType w:val="hybridMultilevel"/>
    <w:tmpl w:val="C79A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1140A4"/>
    <w:multiLevelType w:val="hybridMultilevel"/>
    <w:tmpl w:val="24AC2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BE67E8E"/>
    <w:multiLevelType w:val="hybridMultilevel"/>
    <w:tmpl w:val="49E2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6"/>
  </w:num>
  <w:num w:numId="4">
    <w:abstractNumId w:val="4"/>
  </w:num>
  <w:num w:numId="5">
    <w:abstractNumId w:val="3"/>
  </w:num>
  <w:num w:numId="6">
    <w:abstractNumId w:val="7"/>
  </w:num>
  <w:num w:numId="7">
    <w:abstractNumId w:val="2"/>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BDA"/>
    <w:rsid w:val="00000079"/>
    <w:rsid w:val="00017350"/>
    <w:rsid w:val="000226C3"/>
    <w:rsid w:val="00036BDA"/>
    <w:rsid w:val="000402E8"/>
    <w:rsid w:val="00041ADD"/>
    <w:rsid w:val="000505E1"/>
    <w:rsid w:val="00052F3D"/>
    <w:rsid w:val="00054252"/>
    <w:rsid w:val="00055F2E"/>
    <w:rsid w:val="000711BD"/>
    <w:rsid w:val="00072FBF"/>
    <w:rsid w:val="00075A7B"/>
    <w:rsid w:val="00082EDD"/>
    <w:rsid w:val="00085664"/>
    <w:rsid w:val="000924AE"/>
    <w:rsid w:val="000A091D"/>
    <w:rsid w:val="000A30A5"/>
    <w:rsid w:val="000A30F2"/>
    <w:rsid w:val="000A318E"/>
    <w:rsid w:val="000A3805"/>
    <w:rsid w:val="000B2786"/>
    <w:rsid w:val="000C1EF0"/>
    <w:rsid w:val="000D015F"/>
    <w:rsid w:val="000D154D"/>
    <w:rsid w:val="000E32A1"/>
    <w:rsid w:val="000F293B"/>
    <w:rsid w:val="00122C1C"/>
    <w:rsid w:val="00125518"/>
    <w:rsid w:val="0012720B"/>
    <w:rsid w:val="00143C7B"/>
    <w:rsid w:val="00154FFC"/>
    <w:rsid w:val="00156E5D"/>
    <w:rsid w:val="00160152"/>
    <w:rsid w:val="00161B11"/>
    <w:rsid w:val="00162215"/>
    <w:rsid w:val="001731C3"/>
    <w:rsid w:val="001847DF"/>
    <w:rsid w:val="001861C4"/>
    <w:rsid w:val="001911FD"/>
    <w:rsid w:val="00195C21"/>
    <w:rsid w:val="00197AA7"/>
    <w:rsid w:val="001A21DF"/>
    <w:rsid w:val="001B399D"/>
    <w:rsid w:val="001B4BB0"/>
    <w:rsid w:val="001B5A4A"/>
    <w:rsid w:val="001C799C"/>
    <w:rsid w:val="001C7EFE"/>
    <w:rsid w:val="001D1876"/>
    <w:rsid w:val="001D2A9F"/>
    <w:rsid w:val="001E079D"/>
    <w:rsid w:val="001F0EC2"/>
    <w:rsid w:val="001F1569"/>
    <w:rsid w:val="001F24BD"/>
    <w:rsid w:val="002149C2"/>
    <w:rsid w:val="00217BC3"/>
    <w:rsid w:val="00230A6C"/>
    <w:rsid w:val="00242A33"/>
    <w:rsid w:val="00245B66"/>
    <w:rsid w:val="002476CB"/>
    <w:rsid w:val="0025020F"/>
    <w:rsid w:val="002517EA"/>
    <w:rsid w:val="002519CE"/>
    <w:rsid w:val="002558AE"/>
    <w:rsid w:val="002568FC"/>
    <w:rsid w:val="00262016"/>
    <w:rsid w:val="00264879"/>
    <w:rsid w:val="002709E0"/>
    <w:rsid w:val="00290E9D"/>
    <w:rsid w:val="00294DA0"/>
    <w:rsid w:val="002A0E3E"/>
    <w:rsid w:val="002A2D42"/>
    <w:rsid w:val="002A3035"/>
    <w:rsid w:val="002B1C26"/>
    <w:rsid w:val="002C31A4"/>
    <w:rsid w:val="002C7468"/>
    <w:rsid w:val="002F020E"/>
    <w:rsid w:val="00306205"/>
    <w:rsid w:val="0031506E"/>
    <w:rsid w:val="003344CA"/>
    <w:rsid w:val="003510AF"/>
    <w:rsid w:val="0036156C"/>
    <w:rsid w:val="0037118D"/>
    <w:rsid w:val="00372F79"/>
    <w:rsid w:val="00373B5E"/>
    <w:rsid w:val="0038480F"/>
    <w:rsid w:val="00392FA9"/>
    <w:rsid w:val="0039721A"/>
    <w:rsid w:val="003B245B"/>
    <w:rsid w:val="003C1086"/>
    <w:rsid w:val="003C4356"/>
    <w:rsid w:val="003C4C1F"/>
    <w:rsid w:val="003C7132"/>
    <w:rsid w:val="003D33F1"/>
    <w:rsid w:val="003D73D8"/>
    <w:rsid w:val="003D7A7C"/>
    <w:rsid w:val="003D7BB7"/>
    <w:rsid w:val="003E2103"/>
    <w:rsid w:val="003E6C61"/>
    <w:rsid w:val="00402BC9"/>
    <w:rsid w:val="00412F3D"/>
    <w:rsid w:val="0041606A"/>
    <w:rsid w:val="00430A10"/>
    <w:rsid w:val="004347B2"/>
    <w:rsid w:val="00440DE8"/>
    <w:rsid w:val="00452880"/>
    <w:rsid w:val="00452C17"/>
    <w:rsid w:val="00461855"/>
    <w:rsid w:val="00472F0E"/>
    <w:rsid w:val="00482097"/>
    <w:rsid w:val="004956A2"/>
    <w:rsid w:val="0049629C"/>
    <w:rsid w:val="004B1FC8"/>
    <w:rsid w:val="004B5EFF"/>
    <w:rsid w:val="004B6605"/>
    <w:rsid w:val="004C1E30"/>
    <w:rsid w:val="004C4049"/>
    <w:rsid w:val="004D3B52"/>
    <w:rsid w:val="004E0D3D"/>
    <w:rsid w:val="004F3799"/>
    <w:rsid w:val="004F789F"/>
    <w:rsid w:val="00502D23"/>
    <w:rsid w:val="005030A4"/>
    <w:rsid w:val="00514064"/>
    <w:rsid w:val="005255F2"/>
    <w:rsid w:val="00531BCE"/>
    <w:rsid w:val="005466B2"/>
    <w:rsid w:val="005514C5"/>
    <w:rsid w:val="00561465"/>
    <w:rsid w:val="005652A1"/>
    <w:rsid w:val="00566925"/>
    <w:rsid w:val="005719F8"/>
    <w:rsid w:val="005773CA"/>
    <w:rsid w:val="005825B8"/>
    <w:rsid w:val="005A443E"/>
    <w:rsid w:val="005B76AB"/>
    <w:rsid w:val="005C4B87"/>
    <w:rsid w:val="005C4E9C"/>
    <w:rsid w:val="005C6000"/>
    <w:rsid w:val="005C60A6"/>
    <w:rsid w:val="005D2EE6"/>
    <w:rsid w:val="005D3D5E"/>
    <w:rsid w:val="005D51F9"/>
    <w:rsid w:val="005F59A0"/>
    <w:rsid w:val="006020DA"/>
    <w:rsid w:val="0060439A"/>
    <w:rsid w:val="00607BBC"/>
    <w:rsid w:val="0061023F"/>
    <w:rsid w:val="00617A11"/>
    <w:rsid w:val="0062091A"/>
    <w:rsid w:val="00625A11"/>
    <w:rsid w:val="006321D2"/>
    <w:rsid w:val="00632D50"/>
    <w:rsid w:val="00645F7B"/>
    <w:rsid w:val="00666F0C"/>
    <w:rsid w:val="006704FA"/>
    <w:rsid w:val="00674FB3"/>
    <w:rsid w:val="006823E9"/>
    <w:rsid w:val="0068303E"/>
    <w:rsid w:val="006972A4"/>
    <w:rsid w:val="006A410C"/>
    <w:rsid w:val="006A5DF0"/>
    <w:rsid w:val="006A7D6F"/>
    <w:rsid w:val="006C3D99"/>
    <w:rsid w:val="00704A78"/>
    <w:rsid w:val="00717298"/>
    <w:rsid w:val="00723E16"/>
    <w:rsid w:val="00726274"/>
    <w:rsid w:val="007270B1"/>
    <w:rsid w:val="0073366B"/>
    <w:rsid w:val="00740416"/>
    <w:rsid w:val="00741293"/>
    <w:rsid w:val="00754047"/>
    <w:rsid w:val="00766D4D"/>
    <w:rsid w:val="007702DD"/>
    <w:rsid w:val="00777235"/>
    <w:rsid w:val="00781F78"/>
    <w:rsid w:val="00790A26"/>
    <w:rsid w:val="007A14E6"/>
    <w:rsid w:val="007A7647"/>
    <w:rsid w:val="007C03E2"/>
    <w:rsid w:val="007C2A6E"/>
    <w:rsid w:val="007C4C15"/>
    <w:rsid w:val="007C5095"/>
    <w:rsid w:val="007C7FA7"/>
    <w:rsid w:val="007D428F"/>
    <w:rsid w:val="007D607F"/>
    <w:rsid w:val="007E063A"/>
    <w:rsid w:val="007E4769"/>
    <w:rsid w:val="007E78CE"/>
    <w:rsid w:val="007F4240"/>
    <w:rsid w:val="00801635"/>
    <w:rsid w:val="008145D7"/>
    <w:rsid w:val="008168F1"/>
    <w:rsid w:val="00833F20"/>
    <w:rsid w:val="0084671A"/>
    <w:rsid w:val="00846B69"/>
    <w:rsid w:val="00851E57"/>
    <w:rsid w:val="00856E64"/>
    <w:rsid w:val="0086021C"/>
    <w:rsid w:val="00870836"/>
    <w:rsid w:val="00872570"/>
    <w:rsid w:val="00883B07"/>
    <w:rsid w:val="008929E0"/>
    <w:rsid w:val="00896CE8"/>
    <w:rsid w:val="008E5141"/>
    <w:rsid w:val="008F7C41"/>
    <w:rsid w:val="009052AC"/>
    <w:rsid w:val="00915759"/>
    <w:rsid w:val="00920C11"/>
    <w:rsid w:val="0092213F"/>
    <w:rsid w:val="009239E1"/>
    <w:rsid w:val="00932FB8"/>
    <w:rsid w:val="009421B9"/>
    <w:rsid w:val="00950444"/>
    <w:rsid w:val="00977368"/>
    <w:rsid w:val="00985222"/>
    <w:rsid w:val="009A158C"/>
    <w:rsid w:val="009A421B"/>
    <w:rsid w:val="009B0830"/>
    <w:rsid w:val="009B1399"/>
    <w:rsid w:val="009C62F7"/>
    <w:rsid w:val="009E043D"/>
    <w:rsid w:val="009E1F22"/>
    <w:rsid w:val="009E202D"/>
    <w:rsid w:val="009E419D"/>
    <w:rsid w:val="009E49C0"/>
    <w:rsid w:val="009F1CCB"/>
    <w:rsid w:val="00A07FB6"/>
    <w:rsid w:val="00A21708"/>
    <w:rsid w:val="00A25D7B"/>
    <w:rsid w:val="00A34D1E"/>
    <w:rsid w:val="00A44EB6"/>
    <w:rsid w:val="00A65756"/>
    <w:rsid w:val="00A7570B"/>
    <w:rsid w:val="00A80B97"/>
    <w:rsid w:val="00A817E7"/>
    <w:rsid w:val="00A918C3"/>
    <w:rsid w:val="00A92395"/>
    <w:rsid w:val="00A97AF8"/>
    <w:rsid w:val="00AA3710"/>
    <w:rsid w:val="00AA518D"/>
    <w:rsid w:val="00AD7528"/>
    <w:rsid w:val="00AF028A"/>
    <w:rsid w:val="00B108A9"/>
    <w:rsid w:val="00B256FB"/>
    <w:rsid w:val="00B30AF9"/>
    <w:rsid w:val="00B35A7B"/>
    <w:rsid w:val="00B43C0A"/>
    <w:rsid w:val="00B54157"/>
    <w:rsid w:val="00B55162"/>
    <w:rsid w:val="00B63C5C"/>
    <w:rsid w:val="00B71867"/>
    <w:rsid w:val="00B86FBA"/>
    <w:rsid w:val="00B87CC3"/>
    <w:rsid w:val="00B90F2A"/>
    <w:rsid w:val="00B96D7E"/>
    <w:rsid w:val="00BA38CD"/>
    <w:rsid w:val="00BB0060"/>
    <w:rsid w:val="00BC0E5C"/>
    <w:rsid w:val="00BC5676"/>
    <w:rsid w:val="00BC6333"/>
    <w:rsid w:val="00BC6E27"/>
    <w:rsid w:val="00BD7739"/>
    <w:rsid w:val="00BF3B95"/>
    <w:rsid w:val="00C0050A"/>
    <w:rsid w:val="00C022A2"/>
    <w:rsid w:val="00C253E2"/>
    <w:rsid w:val="00C409A0"/>
    <w:rsid w:val="00C4588A"/>
    <w:rsid w:val="00C4605B"/>
    <w:rsid w:val="00C515DA"/>
    <w:rsid w:val="00C549B4"/>
    <w:rsid w:val="00C56E97"/>
    <w:rsid w:val="00C60EC5"/>
    <w:rsid w:val="00C61E12"/>
    <w:rsid w:val="00C62186"/>
    <w:rsid w:val="00C64D55"/>
    <w:rsid w:val="00C720EC"/>
    <w:rsid w:val="00C77DE7"/>
    <w:rsid w:val="00C81873"/>
    <w:rsid w:val="00C90A09"/>
    <w:rsid w:val="00C931E9"/>
    <w:rsid w:val="00CB1638"/>
    <w:rsid w:val="00CB3918"/>
    <w:rsid w:val="00CB782F"/>
    <w:rsid w:val="00CC2081"/>
    <w:rsid w:val="00CC31B9"/>
    <w:rsid w:val="00CD318C"/>
    <w:rsid w:val="00CE19A6"/>
    <w:rsid w:val="00CE7AEE"/>
    <w:rsid w:val="00CF4CC3"/>
    <w:rsid w:val="00CF71F2"/>
    <w:rsid w:val="00D07F9D"/>
    <w:rsid w:val="00D12FA3"/>
    <w:rsid w:val="00D156B4"/>
    <w:rsid w:val="00D20DF3"/>
    <w:rsid w:val="00D23A86"/>
    <w:rsid w:val="00D266B4"/>
    <w:rsid w:val="00D27CA4"/>
    <w:rsid w:val="00D30E53"/>
    <w:rsid w:val="00D31EB0"/>
    <w:rsid w:val="00D321DE"/>
    <w:rsid w:val="00D42743"/>
    <w:rsid w:val="00D46ED8"/>
    <w:rsid w:val="00D55DA7"/>
    <w:rsid w:val="00D562C5"/>
    <w:rsid w:val="00D612BE"/>
    <w:rsid w:val="00D6516C"/>
    <w:rsid w:val="00D748E9"/>
    <w:rsid w:val="00D80F20"/>
    <w:rsid w:val="00D8586F"/>
    <w:rsid w:val="00D87D96"/>
    <w:rsid w:val="00D902B4"/>
    <w:rsid w:val="00D939FB"/>
    <w:rsid w:val="00DA3EAC"/>
    <w:rsid w:val="00DA4178"/>
    <w:rsid w:val="00DA539F"/>
    <w:rsid w:val="00DA7E75"/>
    <w:rsid w:val="00DB7D88"/>
    <w:rsid w:val="00DC442A"/>
    <w:rsid w:val="00DC6B92"/>
    <w:rsid w:val="00DD64FA"/>
    <w:rsid w:val="00DE5B80"/>
    <w:rsid w:val="00DE716E"/>
    <w:rsid w:val="00DF6EEC"/>
    <w:rsid w:val="00DF7ACA"/>
    <w:rsid w:val="00E02038"/>
    <w:rsid w:val="00E1379C"/>
    <w:rsid w:val="00E15D32"/>
    <w:rsid w:val="00E176F1"/>
    <w:rsid w:val="00E350B4"/>
    <w:rsid w:val="00E411BC"/>
    <w:rsid w:val="00E60C3C"/>
    <w:rsid w:val="00E60CC2"/>
    <w:rsid w:val="00E663FA"/>
    <w:rsid w:val="00E720F3"/>
    <w:rsid w:val="00E73A53"/>
    <w:rsid w:val="00E82781"/>
    <w:rsid w:val="00E86B3B"/>
    <w:rsid w:val="00E91154"/>
    <w:rsid w:val="00E943D1"/>
    <w:rsid w:val="00EA10FA"/>
    <w:rsid w:val="00EA2427"/>
    <w:rsid w:val="00EA71E3"/>
    <w:rsid w:val="00EA7B7D"/>
    <w:rsid w:val="00EB0099"/>
    <w:rsid w:val="00EB2A52"/>
    <w:rsid w:val="00EB39EF"/>
    <w:rsid w:val="00EB4C55"/>
    <w:rsid w:val="00EB533C"/>
    <w:rsid w:val="00EC48E3"/>
    <w:rsid w:val="00EC64BB"/>
    <w:rsid w:val="00ED5FC9"/>
    <w:rsid w:val="00EE2D5D"/>
    <w:rsid w:val="00EE3100"/>
    <w:rsid w:val="00EF0A9B"/>
    <w:rsid w:val="00EF1D21"/>
    <w:rsid w:val="00EF2EC3"/>
    <w:rsid w:val="00EF49EF"/>
    <w:rsid w:val="00F01C39"/>
    <w:rsid w:val="00F02700"/>
    <w:rsid w:val="00F12D4B"/>
    <w:rsid w:val="00F15963"/>
    <w:rsid w:val="00F21C60"/>
    <w:rsid w:val="00F23F01"/>
    <w:rsid w:val="00F364B3"/>
    <w:rsid w:val="00F368F8"/>
    <w:rsid w:val="00F436AF"/>
    <w:rsid w:val="00F60F6A"/>
    <w:rsid w:val="00F67061"/>
    <w:rsid w:val="00F750C5"/>
    <w:rsid w:val="00FA47D5"/>
    <w:rsid w:val="00FB094D"/>
    <w:rsid w:val="00FB45AC"/>
    <w:rsid w:val="00FB55AD"/>
    <w:rsid w:val="00FD248C"/>
    <w:rsid w:val="00FF0E28"/>
    <w:rsid w:val="00FF10FA"/>
    <w:rsid w:val="00FF1301"/>
    <w:rsid w:val="00FF263F"/>
    <w:rsid w:val="00FF2EC6"/>
    <w:rsid w:val="00FF48A4"/>
    <w:rsid w:val="00FF539B"/>
    <w:rsid w:val="00FF6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6B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6B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6B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17298"/>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71729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B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36BD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6BD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30AF9"/>
    <w:rPr>
      <w:color w:val="0000FF" w:themeColor="hyperlink"/>
      <w:u w:val="single"/>
    </w:rPr>
  </w:style>
  <w:style w:type="paragraph" w:styleId="Caption">
    <w:name w:val="caption"/>
    <w:basedOn w:val="Normal"/>
    <w:next w:val="Normal"/>
    <w:uiPriority w:val="35"/>
    <w:unhideWhenUsed/>
    <w:qFormat/>
    <w:rsid w:val="00DA539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DA5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9F"/>
    <w:rPr>
      <w:rFonts w:ascii="Tahoma" w:hAnsi="Tahoma" w:cs="Tahoma"/>
      <w:sz w:val="16"/>
      <w:szCs w:val="16"/>
    </w:rPr>
  </w:style>
  <w:style w:type="table" w:styleId="TableGrid">
    <w:name w:val="Table Grid"/>
    <w:basedOn w:val="TableNormal"/>
    <w:uiPriority w:val="59"/>
    <w:rsid w:val="003D7A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D248C"/>
    <w:rPr>
      <w:color w:val="800080" w:themeColor="followedHyperlink"/>
      <w:u w:val="single"/>
    </w:rPr>
  </w:style>
  <w:style w:type="paragraph" w:styleId="ListParagraph">
    <w:name w:val="List Paragraph"/>
    <w:basedOn w:val="Normal"/>
    <w:uiPriority w:val="34"/>
    <w:qFormat/>
    <w:rsid w:val="004B6605"/>
    <w:pPr>
      <w:ind w:left="720"/>
      <w:contextualSpacing/>
    </w:pPr>
  </w:style>
  <w:style w:type="paragraph" w:styleId="Header">
    <w:name w:val="header"/>
    <w:basedOn w:val="Normal"/>
    <w:link w:val="HeaderChar"/>
    <w:uiPriority w:val="99"/>
    <w:unhideWhenUsed/>
    <w:rsid w:val="00B63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C5C"/>
  </w:style>
  <w:style w:type="paragraph" w:styleId="Footer">
    <w:name w:val="footer"/>
    <w:basedOn w:val="Normal"/>
    <w:link w:val="FooterChar"/>
    <w:uiPriority w:val="99"/>
    <w:unhideWhenUsed/>
    <w:rsid w:val="00B63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C5C"/>
  </w:style>
  <w:style w:type="paragraph" w:styleId="PlainText">
    <w:name w:val="Plain Text"/>
    <w:basedOn w:val="Normal"/>
    <w:link w:val="PlainTextChar"/>
    <w:uiPriority w:val="99"/>
    <w:unhideWhenUsed/>
    <w:rsid w:val="00EA7B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A7B7D"/>
    <w:rPr>
      <w:rFonts w:ascii="Consolas" w:hAnsi="Consolas"/>
      <w:sz w:val="21"/>
      <w:szCs w:val="21"/>
    </w:rPr>
  </w:style>
  <w:style w:type="paragraph" w:styleId="EndnoteText">
    <w:name w:val="endnote text"/>
    <w:basedOn w:val="Normal"/>
    <w:link w:val="EndnoteTextChar"/>
    <w:uiPriority w:val="99"/>
    <w:semiHidden/>
    <w:unhideWhenUsed/>
    <w:rsid w:val="00D46E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ED8"/>
    <w:rPr>
      <w:sz w:val="20"/>
      <w:szCs w:val="20"/>
    </w:rPr>
  </w:style>
  <w:style w:type="character" w:styleId="EndnoteReference">
    <w:name w:val="endnote reference"/>
    <w:basedOn w:val="DefaultParagraphFont"/>
    <w:uiPriority w:val="99"/>
    <w:semiHidden/>
    <w:unhideWhenUsed/>
    <w:rsid w:val="00D46ED8"/>
    <w:rPr>
      <w:vertAlign w:val="superscript"/>
    </w:rPr>
  </w:style>
  <w:style w:type="character" w:customStyle="1" w:styleId="Heading4Char">
    <w:name w:val="Heading 4 Char"/>
    <w:basedOn w:val="DefaultParagraphFont"/>
    <w:link w:val="Heading4"/>
    <w:rsid w:val="0071729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rsid w:val="00717298"/>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162215"/>
    <w:pPr>
      <w:outlineLvl w:val="9"/>
    </w:pPr>
  </w:style>
  <w:style w:type="paragraph" w:styleId="TOC1">
    <w:name w:val="toc 1"/>
    <w:basedOn w:val="Normal"/>
    <w:next w:val="Normal"/>
    <w:autoRedefine/>
    <w:uiPriority w:val="39"/>
    <w:unhideWhenUsed/>
    <w:rsid w:val="00162215"/>
    <w:pPr>
      <w:spacing w:after="100"/>
    </w:pPr>
  </w:style>
  <w:style w:type="paragraph" w:styleId="TOC2">
    <w:name w:val="toc 2"/>
    <w:basedOn w:val="Normal"/>
    <w:next w:val="Normal"/>
    <w:autoRedefine/>
    <w:uiPriority w:val="39"/>
    <w:unhideWhenUsed/>
    <w:rsid w:val="0068303E"/>
    <w:pPr>
      <w:tabs>
        <w:tab w:val="right" w:leader="dot" w:pos="12950"/>
      </w:tabs>
      <w:spacing w:after="0"/>
      <w:ind w:left="216"/>
    </w:pPr>
    <w:rPr>
      <w:rFonts w:ascii="Palatino Linotype" w:hAnsi="Palatino Linotype"/>
      <w:noProof/>
    </w:rPr>
  </w:style>
  <w:style w:type="paragraph" w:styleId="TOC3">
    <w:name w:val="toc 3"/>
    <w:basedOn w:val="Normal"/>
    <w:next w:val="Normal"/>
    <w:autoRedefine/>
    <w:uiPriority w:val="39"/>
    <w:unhideWhenUsed/>
    <w:rsid w:val="0068303E"/>
    <w:pPr>
      <w:tabs>
        <w:tab w:val="right" w:leader="dot" w:pos="12950"/>
      </w:tabs>
      <w:spacing w:after="0"/>
      <w:ind w:left="446"/>
    </w:pPr>
    <w:rPr>
      <w:rFonts w:ascii="Palatino Linotype" w:hAnsi="Palatino Linotype"/>
      <w:noProof/>
    </w:rPr>
  </w:style>
  <w:style w:type="character" w:styleId="CommentReference">
    <w:name w:val="annotation reference"/>
    <w:basedOn w:val="DefaultParagraphFont"/>
    <w:uiPriority w:val="99"/>
    <w:semiHidden/>
    <w:unhideWhenUsed/>
    <w:rsid w:val="003D7BB7"/>
    <w:rPr>
      <w:sz w:val="16"/>
      <w:szCs w:val="16"/>
    </w:rPr>
  </w:style>
  <w:style w:type="paragraph" w:styleId="CommentText">
    <w:name w:val="annotation text"/>
    <w:basedOn w:val="Normal"/>
    <w:link w:val="CommentTextChar"/>
    <w:uiPriority w:val="99"/>
    <w:semiHidden/>
    <w:unhideWhenUsed/>
    <w:rsid w:val="003D7BB7"/>
    <w:pPr>
      <w:spacing w:line="240" w:lineRule="auto"/>
    </w:pPr>
    <w:rPr>
      <w:sz w:val="20"/>
      <w:szCs w:val="20"/>
    </w:rPr>
  </w:style>
  <w:style w:type="character" w:customStyle="1" w:styleId="CommentTextChar">
    <w:name w:val="Comment Text Char"/>
    <w:basedOn w:val="DefaultParagraphFont"/>
    <w:link w:val="CommentText"/>
    <w:uiPriority w:val="99"/>
    <w:semiHidden/>
    <w:rsid w:val="003D7BB7"/>
    <w:rPr>
      <w:sz w:val="20"/>
      <w:szCs w:val="20"/>
    </w:rPr>
  </w:style>
  <w:style w:type="paragraph" w:styleId="CommentSubject">
    <w:name w:val="annotation subject"/>
    <w:basedOn w:val="CommentText"/>
    <w:next w:val="CommentText"/>
    <w:link w:val="CommentSubjectChar"/>
    <w:uiPriority w:val="99"/>
    <w:semiHidden/>
    <w:unhideWhenUsed/>
    <w:rsid w:val="003D7BB7"/>
    <w:rPr>
      <w:b/>
      <w:bCs/>
    </w:rPr>
  </w:style>
  <w:style w:type="character" w:customStyle="1" w:styleId="CommentSubjectChar">
    <w:name w:val="Comment Subject Char"/>
    <w:basedOn w:val="CommentTextChar"/>
    <w:link w:val="CommentSubject"/>
    <w:uiPriority w:val="99"/>
    <w:semiHidden/>
    <w:rsid w:val="003D7BB7"/>
    <w:rPr>
      <w:b/>
      <w:bCs/>
      <w:sz w:val="20"/>
      <w:szCs w:val="20"/>
    </w:rPr>
  </w:style>
  <w:style w:type="paragraph" w:styleId="NormalWeb">
    <w:name w:val="Normal (Web)"/>
    <w:basedOn w:val="Normal"/>
    <w:uiPriority w:val="99"/>
    <w:semiHidden/>
    <w:unhideWhenUsed/>
    <w:rsid w:val="007540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1">
    <w:name w:val="Light List1"/>
    <w:basedOn w:val="TableNormal"/>
    <w:uiPriority w:val="61"/>
    <w:rsid w:val="0001735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ableofFigures">
    <w:name w:val="table of figures"/>
    <w:basedOn w:val="Normal"/>
    <w:next w:val="Normal"/>
    <w:uiPriority w:val="99"/>
    <w:unhideWhenUsed/>
    <w:rsid w:val="00B87CC3"/>
    <w:pPr>
      <w:spacing w:after="0"/>
    </w:pPr>
  </w:style>
  <w:style w:type="paragraph" w:styleId="FootnoteText">
    <w:name w:val="footnote text"/>
    <w:basedOn w:val="Normal"/>
    <w:link w:val="FootnoteTextChar"/>
    <w:uiPriority w:val="99"/>
    <w:semiHidden/>
    <w:unhideWhenUsed/>
    <w:rsid w:val="00932F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2FB8"/>
    <w:rPr>
      <w:sz w:val="20"/>
      <w:szCs w:val="20"/>
    </w:rPr>
  </w:style>
  <w:style w:type="character" w:styleId="FootnoteReference">
    <w:name w:val="footnote reference"/>
    <w:basedOn w:val="DefaultParagraphFont"/>
    <w:uiPriority w:val="99"/>
    <w:semiHidden/>
    <w:unhideWhenUsed/>
    <w:rsid w:val="00932FB8"/>
    <w:rPr>
      <w:vertAlign w:val="superscript"/>
    </w:rPr>
  </w:style>
  <w:style w:type="paragraph" w:styleId="NoSpacing">
    <w:name w:val="No Spacing"/>
    <w:link w:val="NoSpacingChar"/>
    <w:uiPriority w:val="1"/>
    <w:qFormat/>
    <w:rsid w:val="000D154D"/>
    <w:pPr>
      <w:spacing w:after="0" w:line="240" w:lineRule="auto"/>
    </w:pPr>
    <w:rPr>
      <w:lang w:eastAsia="ja-JP"/>
    </w:rPr>
  </w:style>
  <w:style w:type="character" w:customStyle="1" w:styleId="NoSpacingChar">
    <w:name w:val="No Spacing Char"/>
    <w:basedOn w:val="DefaultParagraphFont"/>
    <w:link w:val="NoSpacing"/>
    <w:uiPriority w:val="1"/>
    <w:rsid w:val="000D154D"/>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6B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6B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6B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17298"/>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71729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B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36BD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6BD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30AF9"/>
    <w:rPr>
      <w:color w:val="0000FF" w:themeColor="hyperlink"/>
      <w:u w:val="single"/>
    </w:rPr>
  </w:style>
  <w:style w:type="paragraph" w:styleId="Caption">
    <w:name w:val="caption"/>
    <w:basedOn w:val="Normal"/>
    <w:next w:val="Normal"/>
    <w:uiPriority w:val="35"/>
    <w:unhideWhenUsed/>
    <w:qFormat/>
    <w:rsid w:val="00DA539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DA5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9F"/>
    <w:rPr>
      <w:rFonts w:ascii="Tahoma" w:hAnsi="Tahoma" w:cs="Tahoma"/>
      <w:sz w:val="16"/>
      <w:szCs w:val="16"/>
    </w:rPr>
  </w:style>
  <w:style w:type="table" w:styleId="TableGrid">
    <w:name w:val="Table Grid"/>
    <w:basedOn w:val="TableNormal"/>
    <w:uiPriority w:val="59"/>
    <w:rsid w:val="003D7A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D248C"/>
    <w:rPr>
      <w:color w:val="800080" w:themeColor="followedHyperlink"/>
      <w:u w:val="single"/>
    </w:rPr>
  </w:style>
  <w:style w:type="paragraph" w:styleId="ListParagraph">
    <w:name w:val="List Paragraph"/>
    <w:basedOn w:val="Normal"/>
    <w:uiPriority w:val="34"/>
    <w:qFormat/>
    <w:rsid w:val="004B6605"/>
    <w:pPr>
      <w:ind w:left="720"/>
      <w:contextualSpacing/>
    </w:pPr>
  </w:style>
  <w:style w:type="paragraph" w:styleId="Header">
    <w:name w:val="header"/>
    <w:basedOn w:val="Normal"/>
    <w:link w:val="HeaderChar"/>
    <w:uiPriority w:val="99"/>
    <w:unhideWhenUsed/>
    <w:rsid w:val="00B63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C5C"/>
  </w:style>
  <w:style w:type="paragraph" w:styleId="Footer">
    <w:name w:val="footer"/>
    <w:basedOn w:val="Normal"/>
    <w:link w:val="FooterChar"/>
    <w:uiPriority w:val="99"/>
    <w:unhideWhenUsed/>
    <w:rsid w:val="00B63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C5C"/>
  </w:style>
  <w:style w:type="paragraph" w:styleId="PlainText">
    <w:name w:val="Plain Text"/>
    <w:basedOn w:val="Normal"/>
    <w:link w:val="PlainTextChar"/>
    <w:uiPriority w:val="99"/>
    <w:unhideWhenUsed/>
    <w:rsid w:val="00EA7B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A7B7D"/>
    <w:rPr>
      <w:rFonts w:ascii="Consolas" w:hAnsi="Consolas"/>
      <w:sz w:val="21"/>
      <w:szCs w:val="21"/>
    </w:rPr>
  </w:style>
  <w:style w:type="paragraph" w:styleId="EndnoteText">
    <w:name w:val="endnote text"/>
    <w:basedOn w:val="Normal"/>
    <w:link w:val="EndnoteTextChar"/>
    <w:uiPriority w:val="99"/>
    <w:semiHidden/>
    <w:unhideWhenUsed/>
    <w:rsid w:val="00D46E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ED8"/>
    <w:rPr>
      <w:sz w:val="20"/>
      <w:szCs w:val="20"/>
    </w:rPr>
  </w:style>
  <w:style w:type="character" w:styleId="EndnoteReference">
    <w:name w:val="endnote reference"/>
    <w:basedOn w:val="DefaultParagraphFont"/>
    <w:uiPriority w:val="99"/>
    <w:semiHidden/>
    <w:unhideWhenUsed/>
    <w:rsid w:val="00D46ED8"/>
    <w:rPr>
      <w:vertAlign w:val="superscript"/>
    </w:rPr>
  </w:style>
  <w:style w:type="character" w:customStyle="1" w:styleId="Heading4Char">
    <w:name w:val="Heading 4 Char"/>
    <w:basedOn w:val="DefaultParagraphFont"/>
    <w:link w:val="Heading4"/>
    <w:rsid w:val="0071729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rsid w:val="00717298"/>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162215"/>
    <w:pPr>
      <w:outlineLvl w:val="9"/>
    </w:pPr>
  </w:style>
  <w:style w:type="paragraph" w:styleId="TOC1">
    <w:name w:val="toc 1"/>
    <w:basedOn w:val="Normal"/>
    <w:next w:val="Normal"/>
    <w:autoRedefine/>
    <w:uiPriority w:val="39"/>
    <w:unhideWhenUsed/>
    <w:rsid w:val="00162215"/>
    <w:pPr>
      <w:spacing w:after="100"/>
    </w:pPr>
  </w:style>
  <w:style w:type="paragraph" w:styleId="TOC2">
    <w:name w:val="toc 2"/>
    <w:basedOn w:val="Normal"/>
    <w:next w:val="Normal"/>
    <w:autoRedefine/>
    <w:uiPriority w:val="39"/>
    <w:unhideWhenUsed/>
    <w:rsid w:val="0068303E"/>
    <w:pPr>
      <w:tabs>
        <w:tab w:val="right" w:leader="dot" w:pos="12950"/>
      </w:tabs>
      <w:spacing w:after="0"/>
      <w:ind w:left="216"/>
    </w:pPr>
    <w:rPr>
      <w:rFonts w:ascii="Palatino Linotype" w:hAnsi="Palatino Linotype"/>
      <w:noProof/>
    </w:rPr>
  </w:style>
  <w:style w:type="paragraph" w:styleId="TOC3">
    <w:name w:val="toc 3"/>
    <w:basedOn w:val="Normal"/>
    <w:next w:val="Normal"/>
    <w:autoRedefine/>
    <w:uiPriority w:val="39"/>
    <w:unhideWhenUsed/>
    <w:rsid w:val="0068303E"/>
    <w:pPr>
      <w:tabs>
        <w:tab w:val="right" w:leader="dot" w:pos="12950"/>
      </w:tabs>
      <w:spacing w:after="0"/>
      <w:ind w:left="446"/>
    </w:pPr>
    <w:rPr>
      <w:rFonts w:ascii="Palatino Linotype" w:hAnsi="Palatino Linotype"/>
      <w:noProof/>
    </w:rPr>
  </w:style>
  <w:style w:type="character" w:styleId="CommentReference">
    <w:name w:val="annotation reference"/>
    <w:basedOn w:val="DefaultParagraphFont"/>
    <w:uiPriority w:val="99"/>
    <w:semiHidden/>
    <w:unhideWhenUsed/>
    <w:rsid w:val="003D7BB7"/>
    <w:rPr>
      <w:sz w:val="16"/>
      <w:szCs w:val="16"/>
    </w:rPr>
  </w:style>
  <w:style w:type="paragraph" w:styleId="CommentText">
    <w:name w:val="annotation text"/>
    <w:basedOn w:val="Normal"/>
    <w:link w:val="CommentTextChar"/>
    <w:uiPriority w:val="99"/>
    <w:semiHidden/>
    <w:unhideWhenUsed/>
    <w:rsid w:val="003D7BB7"/>
    <w:pPr>
      <w:spacing w:line="240" w:lineRule="auto"/>
    </w:pPr>
    <w:rPr>
      <w:sz w:val="20"/>
      <w:szCs w:val="20"/>
    </w:rPr>
  </w:style>
  <w:style w:type="character" w:customStyle="1" w:styleId="CommentTextChar">
    <w:name w:val="Comment Text Char"/>
    <w:basedOn w:val="DefaultParagraphFont"/>
    <w:link w:val="CommentText"/>
    <w:uiPriority w:val="99"/>
    <w:semiHidden/>
    <w:rsid w:val="003D7BB7"/>
    <w:rPr>
      <w:sz w:val="20"/>
      <w:szCs w:val="20"/>
    </w:rPr>
  </w:style>
  <w:style w:type="paragraph" w:styleId="CommentSubject">
    <w:name w:val="annotation subject"/>
    <w:basedOn w:val="CommentText"/>
    <w:next w:val="CommentText"/>
    <w:link w:val="CommentSubjectChar"/>
    <w:uiPriority w:val="99"/>
    <w:semiHidden/>
    <w:unhideWhenUsed/>
    <w:rsid w:val="003D7BB7"/>
    <w:rPr>
      <w:b/>
      <w:bCs/>
    </w:rPr>
  </w:style>
  <w:style w:type="character" w:customStyle="1" w:styleId="CommentSubjectChar">
    <w:name w:val="Comment Subject Char"/>
    <w:basedOn w:val="CommentTextChar"/>
    <w:link w:val="CommentSubject"/>
    <w:uiPriority w:val="99"/>
    <w:semiHidden/>
    <w:rsid w:val="003D7BB7"/>
    <w:rPr>
      <w:b/>
      <w:bCs/>
      <w:sz w:val="20"/>
      <w:szCs w:val="20"/>
    </w:rPr>
  </w:style>
  <w:style w:type="paragraph" w:styleId="NormalWeb">
    <w:name w:val="Normal (Web)"/>
    <w:basedOn w:val="Normal"/>
    <w:uiPriority w:val="99"/>
    <w:semiHidden/>
    <w:unhideWhenUsed/>
    <w:rsid w:val="007540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1">
    <w:name w:val="Light List1"/>
    <w:basedOn w:val="TableNormal"/>
    <w:uiPriority w:val="61"/>
    <w:rsid w:val="0001735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ableofFigures">
    <w:name w:val="table of figures"/>
    <w:basedOn w:val="Normal"/>
    <w:next w:val="Normal"/>
    <w:uiPriority w:val="99"/>
    <w:unhideWhenUsed/>
    <w:rsid w:val="00B87CC3"/>
    <w:pPr>
      <w:spacing w:after="0"/>
    </w:pPr>
  </w:style>
  <w:style w:type="paragraph" w:styleId="FootnoteText">
    <w:name w:val="footnote text"/>
    <w:basedOn w:val="Normal"/>
    <w:link w:val="FootnoteTextChar"/>
    <w:uiPriority w:val="99"/>
    <w:semiHidden/>
    <w:unhideWhenUsed/>
    <w:rsid w:val="00932F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2FB8"/>
    <w:rPr>
      <w:sz w:val="20"/>
      <w:szCs w:val="20"/>
    </w:rPr>
  </w:style>
  <w:style w:type="character" w:styleId="FootnoteReference">
    <w:name w:val="footnote reference"/>
    <w:basedOn w:val="DefaultParagraphFont"/>
    <w:uiPriority w:val="99"/>
    <w:semiHidden/>
    <w:unhideWhenUsed/>
    <w:rsid w:val="00932FB8"/>
    <w:rPr>
      <w:vertAlign w:val="superscript"/>
    </w:rPr>
  </w:style>
  <w:style w:type="paragraph" w:styleId="NoSpacing">
    <w:name w:val="No Spacing"/>
    <w:link w:val="NoSpacingChar"/>
    <w:uiPriority w:val="1"/>
    <w:qFormat/>
    <w:rsid w:val="000D154D"/>
    <w:pPr>
      <w:spacing w:after="0" w:line="240" w:lineRule="auto"/>
    </w:pPr>
    <w:rPr>
      <w:lang w:eastAsia="ja-JP"/>
    </w:rPr>
  </w:style>
  <w:style w:type="character" w:customStyle="1" w:styleId="NoSpacingChar">
    <w:name w:val="No Spacing Char"/>
    <w:basedOn w:val="DefaultParagraphFont"/>
    <w:link w:val="NoSpacing"/>
    <w:uiPriority w:val="1"/>
    <w:rsid w:val="000D154D"/>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713614">
      <w:bodyDiv w:val="1"/>
      <w:marLeft w:val="0"/>
      <w:marRight w:val="0"/>
      <w:marTop w:val="0"/>
      <w:marBottom w:val="0"/>
      <w:divBdr>
        <w:top w:val="none" w:sz="0" w:space="0" w:color="auto"/>
        <w:left w:val="none" w:sz="0" w:space="0" w:color="auto"/>
        <w:bottom w:val="none" w:sz="0" w:space="0" w:color="auto"/>
        <w:right w:val="none" w:sz="0" w:space="0" w:color="auto"/>
      </w:divBdr>
    </w:div>
    <w:div w:id="610094287">
      <w:bodyDiv w:val="1"/>
      <w:marLeft w:val="0"/>
      <w:marRight w:val="0"/>
      <w:marTop w:val="0"/>
      <w:marBottom w:val="0"/>
      <w:divBdr>
        <w:top w:val="none" w:sz="0" w:space="0" w:color="auto"/>
        <w:left w:val="none" w:sz="0" w:space="0" w:color="auto"/>
        <w:bottom w:val="none" w:sz="0" w:space="0" w:color="auto"/>
        <w:right w:val="none" w:sz="0" w:space="0" w:color="auto"/>
      </w:divBdr>
    </w:div>
    <w:div w:id="752354953">
      <w:bodyDiv w:val="1"/>
      <w:marLeft w:val="0"/>
      <w:marRight w:val="0"/>
      <w:marTop w:val="0"/>
      <w:marBottom w:val="0"/>
      <w:divBdr>
        <w:top w:val="none" w:sz="0" w:space="0" w:color="auto"/>
        <w:left w:val="none" w:sz="0" w:space="0" w:color="auto"/>
        <w:bottom w:val="none" w:sz="0" w:space="0" w:color="auto"/>
        <w:right w:val="none" w:sz="0" w:space="0" w:color="auto"/>
      </w:divBdr>
      <w:divsChild>
        <w:div w:id="269750664">
          <w:marLeft w:val="0"/>
          <w:marRight w:val="0"/>
          <w:marTop w:val="0"/>
          <w:marBottom w:val="0"/>
          <w:divBdr>
            <w:top w:val="none" w:sz="0" w:space="0" w:color="auto"/>
            <w:left w:val="none" w:sz="0" w:space="0" w:color="auto"/>
            <w:bottom w:val="none" w:sz="0" w:space="0" w:color="auto"/>
            <w:right w:val="none" w:sz="0" w:space="0" w:color="auto"/>
          </w:divBdr>
          <w:divsChild>
            <w:div w:id="1051729956">
              <w:marLeft w:val="-3600"/>
              <w:marRight w:val="0"/>
              <w:marTop w:val="0"/>
              <w:marBottom w:val="0"/>
              <w:divBdr>
                <w:top w:val="none" w:sz="0" w:space="0" w:color="auto"/>
                <w:left w:val="none" w:sz="0" w:space="0" w:color="auto"/>
                <w:bottom w:val="none" w:sz="0" w:space="0" w:color="auto"/>
                <w:right w:val="none" w:sz="0" w:space="0" w:color="auto"/>
              </w:divBdr>
              <w:divsChild>
                <w:div w:id="1609384132">
                  <w:marLeft w:val="3600"/>
                  <w:marRight w:val="0"/>
                  <w:marTop w:val="0"/>
                  <w:marBottom w:val="0"/>
                  <w:divBdr>
                    <w:top w:val="none" w:sz="0" w:space="0" w:color="auto"/>
                    <w:left w:val="none" w:sz="0" w:space="0" w:color="auto"/>
                    <w:bottom w:val="none" w:sz="0" w:space="0" w:color="auto"/>
                    <w:right w:val="none" w:sz="0" w:space="0" w:color="auto"/>
                  </w:divBdr>
                  <w:divsChild>
                    <w:div w:id="53223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14084">
      <w:bodyDiv w:val="1"/>
      <w:marLeft w:val="0"/>
      <w:marRight w:val="0"/>
      <w:marTop w:val="0"/>
      <w:marBottom w:val="0"/>
      <w:divBdr>
        <w:top w:val="none" w:sz="0" w:space="0" w:color="auto"/>
        <w:left w:val="none" w:sz="0" w:space="0" w:color="auto"/>
        <w:bottom w:val="none" w:sz="0" w:space="0" w:color="auto"/>
        <w:right w:val="none" w:sz="0" w:space="0" w:color="auto"/>
      </w:divBdr>
    </w:div>
    <w:div w:id="1152065763">
      <w:bodyDiv w:val="1"/>
      <w:marLeft w:val="0"/>
      <w:marRight w:val="0"/>
      <w:marTop w:val="0"/>
      <w:marBottom w:val="0"/>
      <w:divBdr>
        <w:top w:val="none" w:sz="0" w:space="0" w:color="auto"/>
        <w:left w:val="none" w:sz="0" w:space="0" w:color="auto"/>
        <w:bottom w:val="none" w:sz="0" w:space="0" w:color="auto"/>
        <w:right w:val="none" w:sz="0" w:space="0" w:color="auto"/>
      </w:divBdr>
    </w:div>
    <w:div w:id="1225485994">
      <w:bodyDiv w:val="1"/>
      <w:marLeft w:val="0"/>
      <w:marRight w:val="0"/>
      <w:marTop w:val="0"/>
      <w:marBottom w:val="0"/>
      <w:divBdr>
        <w:top w:val="none" w:sz="0" w:space="0" w:color="auto"/>
        <w:left w:val="none" w:sz="0" w:space="0" w:color="auto"/>
        <w:bottom w:val="none" w:sz="0" w:space="0" w:color="auto"/>
        <w:right w:val="none" w:sz="0" w:space="0" w:color="auto"/>
      </w:divBdr>
    </w:div>
    <w:div w:id="1649674307">
      <w:bodyDiv w:val="1"/>
      <w:marLeft w:val="0"/>
      <w:marRight w:val="0"/>
      <w:marTop w:val="0"/>
      <w:marBottom w:val="0"/>
      <w:divBdr>
        <w:top w:val="none" w:sz="0" w:space="0" w:color="auto"/>
        <w:left w:val="none" w:sz="0" w:space="0" w:color="auto"/>
        <w:bottom w:val="none" w:sz="0" w:space="0" w:color="auto"/>
        <w:right w:val="none" w:sz="0" w:space="0" w:color="auto"/>
      </w:divBdr>
    </w:div>
    <w:div w:id="178252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chart" Target="charts/chart2.xml"/><Relationship Id="rId42" Type="http://schemas.openxmlformats.org/officeDocument/2006/relationships/chart" Target="charts/chart6.xml"/><Relationship Id="rId47" Type="http://schemas.openxmlformats.org/officeDocument/2006/relationships/chart" Target="charts/chart8.xml"/><Relationship Id="rId50" Type="http://schemas.openxmlformats.org/officeDocument/2006/relationships/package" Target="embeddings/Microsoft_Excel_Worksheet2.xlsx"/><Relationship Id="rId55" Type="http://schemas.openxmlformats.org/officeDocument/2006/relationships/image" Target="media/image32.emf"/><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1.xml"/><Relationship Id="rId38" Type="http://schemas.openxmlformats.org/officeDocument/2006/relationships/image" Target="media/image22.jpeg"/><Relationship Id="rId46" Type="http://schemas.openxmlformats.org/officeDocument/2006/relationships/chart" Target="charts/chart7.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goto2040.org/strategy_papers.aspx" TargetMode="External"/><Relationship Id="rId29" Type="http://schemas.openxmlformats.org/officeDocument/2006/relationships/image" Target="media/image17.jpeg"/><Relationship Id="rId41" Type="http://schemas.openxmlformats.org/officeDocument/2006/relationships/chart" Target="charts/chart5.xml"/><Relationship Id="rId54"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1.emf"/><Relationship Id="rId58" Type="http://schemas.openxmlformats.org/officeDocument/2006/relationships/package" Target="embeddings/Microsoft_Excel_Worksheet6.xlsx"/><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package" Target="embeddings/Microsoft_Excel_Worksheet1.xlsx"/><Relationship Id="rId36" Type="http://schemas.openxmlformats.org/officeDocument/2006/relationships/chart" Target="charts/chart4.xml"/><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26.jpeg"/><Relationship Id="rId52" Type="http://schemas.openxmlformats.org/officeDocument/2006/relationships/package" Target="embeddings/Microsoft_Excel_Worksheet3.xlsx"/><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8.jpeg"/><Relationship Id="rId35" Type="http://schemas.openxmlformats.org/officeDocument/2006/relationships/chart" Target="charts/chart3.xml"/><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package" Target="embeddings/Microsoft_Excel_Worksheet5.xlsx"/><Relationship Id="rId8" Type="http://schemas.openxmlformats.org/officeDocument/2006/relationships/footnotes" Target="footnotes.xml"/><Relationship Id="rId51" Type="http://schemas.openxmlformats.org/officeDocument/2006/relationships/image" Target="media/image30.emf"/><Relationship Id="rId3" Type="http://schemas.openxmlformats.org/officeDocument/2006/relationships/numbering" Target="numbering.xml"/></Relationships>
</file>

<file path=word/_rels/endnotes.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kwies\AppData\Local\Microsoft\Windows\Temporary%20Internet%20Files\Content.Outlook\95CJVSUX\Pop%20Trends%20%20Frcst%20Selected%20Comm%20Are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wies\AppData\Local\Microsoft\Windows\Temporary%20Internet%20Files\Content.Outlook\95CJVSUX\Pop%20Trends%20%20Frcst%20Selected%20Comm%20Are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wies\AppData\Local\Microsoft\Windows\Temporary%20Internet%20Files\Content.Outlook\95CJVSUX\CMAP%2010%20%2040%20Socec%20Graphics%2042%20with%20MCD%20Total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wies\AppData\Local\Microsoft\Windows\Temporary%20Internet%20Files\Content.Outlook\95CJVSUX\CMAP%2010%20%2040%20Socec%20Graphics%2042%20with%20MCD%20Total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MAPFS01\Home\JElam\socec_validation\tabular\socec_vl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MAPFS01\Home\JElam\socec_validation\tabular\socec_vld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MAPFS01\Home\JElam\socec_validation\tabular\lvi_tw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MAPFS01\Home\JElam\socec_validation\tabular\lvi_tw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entury Schoolbook"/>
                <a:ea typeface="Century Schoolbook"/>
                <a:cs typeface="Century Schoolbook"/>
              </a:defRPr>
            </a:pPr>
            <a:r>
              <a:rPr lang="en-US"/>
              <a:t>Near West Community Area - Population Trends</a:t>
            </a:r>
          </a:p>
        </c:rich>
      </c:tx>
      <c:layout>
        <c:manualLayout>
          <c:xMode val="edge"/>
          <c:yMode val="edge"/>
          <c:x val="0.29568558808270812"/>
          <c:y val="0.17873835404419802"/>
        </c:manualLayout>
      </c:layout>
      <c:overlay val="0"/>
      <c:spPr>
        <a:noFill/>
        <a:ln w="25400">
          <a:noFill/>
        </a:ln>
      </c:spPr>
    </c:title>
    <c:autoTitleDeleted val="0"/>
    <c:plotArea>
      <c:layout>
        <c:manualLayout>
          <c:layoutTarget val="inner"/>
          <c:xMode val="edge"/>
          <c:yMode val="edge"/>
          <c:x val="0.12178763712228279"/>
          <c:y val="9.3666572721274766E-2"/>
          <c:w val="0.91231964483906758"/>
          <c:h val="0.80750407830342574"/>
        </c:manualLayout>
      </c:layout>
      <c:lineChart>
        <c:grouping val="standard"/>
        <c:varyColors val="0"/>
        <c:ser>
          <c:idx val="0"/>
          <c:order val="0"/>
          <c:tx>
            <c:strRef>
              <c:f>'Chicago Community Areas'!$B$27</c:f>
              <c:strCache>
                <c:ptCount val="1"/>
                <c:pt idx="0">
                  <c:v>Near West - Historic</c:v>
                </c:pt>
              </c:strCache>
            </c:strRef>
          </c:tx>
          <c:spPr>
            <a:ln w="12700">
              <a:solidFill>
                <a:srgbClr val="0000FF"/>
              </a:solidFill>
              <a:prstDash val="solid"/>
            </a:ln>
          </c:spPr>
          <c:marker>
            <c:symbol val="circle"/>
            <c:size val="10"/>
            <c:spPr>
              <a:solidFill>
                <a:srgbClr val="0000FF"/>
              </a:solidFill>
              <a:ln>
                <a:solidFill>
                  <a:srgbClr val="0000FF"/>
                </a:solidFill>
                <a:prstDash val="solid"/>
              </a:ln>
            </c:spPr>
          </c:marker>
          <c:cat>
            <c:numRef>
              <c:f>'Chicago Community Areas'!$C$26:$M$26</c:f>
              <c:numCache>
                <c:formatCode>General</c:formatCode>
                <c:ptCount val="11"/>
                <c:pt idx="0">
                  <c:v>1940</c:v>
                </c:pt>
                <c:pt idx="1">
                  <c:v>1950</c:v>
                </c:pt>
                <c:pt idx="2">
                  <c:v>1960</c:v>
                </c:pt>
                <c:pt idx="3">
                  <c:v>1970</c:v>
                </c:pt>
                <c:pt idx="4">
                  <c:v>1980</c:v>
                </c:pt>
                <c:pt idx="5">
                  <c:v>1990</c:v>
                </c:pt>
                <c:pt idx="6">
                  <c:v>2000</c:v>
                </c:pt>
                <c:pt idx="7">
                  <c:v>2010</c:v>
                </c:pt>
                <c:pt idx="8">
                  <c:v>2020</c:v>
                </c:pt>
                <c:pt idx="9">
                  <c:v>2030</c:v>
                </c:pt>
                <c:pt idx="10">
                  <c:v>2040</c:v>
                </c:pt>
              </c:numCache>
            </c:numRef>
          </c:cat>
          <c:val>
            <c:numRef>
              <c:f>'Chicago Community Areas'!$C$27:$M$27</c:f>
              <c:numCache>
                <c:formatCode>_(* #,##0_);_(* \(#,##0\);_(* "-"??_);_(@_)</c:formatCode>
                <c:ptCount val="11"/>
                <c:pt idx="0">
                  <c:v>136518</c:v>
                </c:pt>
                <c:pt idx="1">
                  <c:v>160362</c:v>
                </c:pt>
                <c:pt idx="2">
                  <c:v>126610</c:v>
                </c:pt>
                <c:pt idx="3">
                  <c:v>78703</c:v>
                </c:pt>
                <c:pt idx="4">
                  <c:v>57296</c:v>
                </c:pt>
                <c:pt idx="5">
                  <c:v>46197</c:v>
                </c:pt>
                <c:pt idx="6">
                  <c:v>46419</c:v>
                </c:pt>
                <c:pt idx="7">
                  <c:v>55117</c:v>
                </c:pt>
              </c:numCache>
            </c:numRef>
          </c:val>
          <c:smooth val="0"/>
        </c:ser>
        <c:ser>
          <c:idx val="1"/>
          <c:order val="1"/>
          <c:tx>
            <c:strRef>
              <c:f>'Chicago Community Areas'!$B$28</c:f>
              <c:strCache>
                <c:ptCount val="1"/>
                <c:pt idx="0">
                  <c:v>Near West - CMAP</c:v>
                </c:pt>
              </c:strCache>
            </c:strRef>
          </c:tx>
          <c:spPr>
            <a:ln w="38100">
              <a:solidFill>
                <a:srgbClr val="FF0000"/>
              </a:solidFill>
              <a:prstDash val="solid"/>
            </a:ln>
          </c:spPr>
          <c:marker>
            <c:symbol val="none"/>
          </c:marker>
          <c:cat>
            <c:numRef>
              <c:f>'Chicago Community Areas'!$C$26:$M$26</c:f>
              <c:numCache>
                <c:formatCode>General</c:formatCode>
                <c:ptCount val="11"/>
                <c:pt idx="0">
                  <c:v>1940</c:v>
                </c:pt>
                <c:pt idx="1">
                  <c:v>1950</c:v>
                </c:pt>
                <c:pt idx="2">
                  <c:v>1960</c:v>
                </c:pt>
                <c:pt idx="3">
                  <c:v>1970</c:v>
                </c:pt>
                <c:pt idx="4">
                  <c:v>1980</c:v>
                </c:pt>
                <c:pt idx="5">
                  <c:v>1990</c:v>
                </c:pt>
                <c:pt idx="6">
                  <c:v>2000</c:v>
                </c:pt>
                <c:pt idx="7">
                  <c:v>2010</c:v>
                </c:pt>
                <c:pt idx="8">
                  <c:v>2020</c:v>
                </c:pt>
                <c:pt idx="9">
                  <c:v>2030</c:v>
                </c:pt>
                <c:pt idx="10">
                  <c:v>2040</c:v>
                </c:pt>
              </c:numCache>
            </c:numRef>
          </c:cat>
          <c:val>
            <c:numRef>
              <c:f>'Chicago Community Areas'!$C$28:$M$28</c:f>
              <c:numCache>
                <c:formatCode>General</c:formatCode>
                <c:ptCount val="11"/>
                <c:pt idx="7" formatCode="_(* #,##0_);_(* \(#,##0\);_(* &quot;-&quot;??_);_(@_)">
                  <c:v>56258</c:v>
                </c:pt>
                <c:pt idx="8" formatCode="_(* #,##0_);_(* \(#,##0\);_(* &quot;-&quot;??_);_(@_)">
                  <c:v>65968</c:v>
                </c:pt>
                <c:pt idx="9" formatCode="_(* #,##0_);_(* \(#,##0\);_(* &quot;-&quot;??_);_(@_)">
                  <c:v>75678</c:v>
                </c:pt>
                <c:pt idx="10" formatCode="_(* #,##0_);_(* \(#,##0\);_(* &quot;-&quot;??_);_(@_)">
                  <c:v>85388</c:v>
                </c:pt>
              </c:numCache>
            </c:numRef>
          </c:val>
          <c:smooth val="0"/>
        </c:ser>
        <c:dLbls>
          <c:showLegendKey val="0"/>
          <c:showVal val="0"/>
          <c:showCatName val="0"/>
          <c:showSerName val="0"/>
          <c:showPercent val="0"/>
          <c:showBubbleSize val="0"/>
        </c:dLbls>
        <c:marker val="1"/>
        <c:smooth val="0"/>
        <c:axId val="83044608"/>
        <c:axId val="89506560"/>
      </c:lineChart>
      <c:catAx>
        <c:axId val="830446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entury Schoolbook"/>
                <a:ea typeface="Century Schoolbook"/>
                <a:cs typeface="Century Schoolbook"/>
              </a:defRPr>
            </a:pPr>
            <a:endParaRPr lang="en-US"/>
          </a:p>
        </c:txPr>
        <c:crossAx val="89506560"/>
        <c:crosses val="autoZero"/>
        <c:auto val="1"/>
        <c:lblAlgn val="ctr"/>
        <c:lblOffset val="100"/>
        <c:tickLblSkip val="1"/>
        <c:tickMarkSkip val="1"/>
        <c:noMultiLvlLbl val="0"/>
      </c:catAx>
      <c:valAx>
        <c:axId val="89506560"/>
        <c:scaling>
          <c:orientation val="minMax"/>
          <c:max val="180000"/>
        </c:scaling>
        <c:delete val="0"/>
        <c:axPos val="l"/>
        <c:majorGridlines>
          <c:spPr>
            <a:ln w="3175">
              <a:solidFill>
                <a:srgbClr val="000000"/>
              </a:solidFill>
              <a:prstDash val="solid"/>
            </a:ln>
          </c:spPr>
        </c:majorGridlines>
        <c:numFmt formatCode="_(* #,##0_);_(* \(#,##0\);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entury Schoolbook"/>
                <a:ea typeface="Century Schoolbook"/>
                <a:cs typeface="Century Schoolbook"/>
              </a:defRPr>
            </a:pPr>
            <a:endParaRPr lang="en-US"/>
          </a:p>
        </c:txPr>
        <c:crossAx val="83044608"/>
        <c:crosses val="autoZero"/>
        <c:crossBetween val="between"/>
      </c:valAx>
      <c:spPr>
        <a:solidFill>
          <a:srgbClr val="C0C0C0"/>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Century Schoolbook"/>
          <a:ea typeface="Century Schoolbook"/>
          <a:cs typeface="Century Schoolbook"/>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00000"/>
                </a:solidFill>
                <a:latin typeface="Century Schoolbook"/>
                <a:ea typeface="Century Schoolbook"/>
                <a:cs typeface="Century Schoolbook"/>
              </a:defRPr>
            </a:pPr>
            <a:r>
              <a:rPr lang="en-US" sz="1200" b="1" i="0" baseline="0"/>
              <a:t>Kenwood/Hyde Park Community Area</a:t>
            </a:r>
          </a:p>
        </c:rich>
      </c:tx>
      <c:layout>
        <c:manualLayout>
          <c:xMode val="edge"/>
          <c:yMode val="edge"/>
          <c:x val="0.30921585063013313"/>
          <c:y val="0.16587636396133179"/>
        </c:manualLayout>
      </c:layout>
      <c:overlay val="0"/>
      <c:spPr>
        <a:noFill/>
        <a:ln w="25400">
          <a:noFill/>
        </a:ln>
      </c:spPr>
    </c:title>
    <c:autoTitleDeleted val="0"/>
    <c:plotArea>
      <c:layout>
        <c:manualLayout>
          <c:layoutTarget val="inner"/>
          <c:xMode val="edge"/>
          <c:yMode val="edge"/>
          <c:x val="7.9911209766925714E-2"/>
          <c:y val="6.2612492696622113E-2"/>
          <c:w val="0.91231964483906758"/>
          <c:h val="0.82972036768632484"/>
        </c:manualLayout>
      </c:layout>
      <c:lineChart>
        <c:grouping val="standard"/>
        <c:varyColors val="0"/>
        <c:ser>
          <c:idx val="0"/>
          <c:order val="0"/>
          <c:tx>
            <c:strRef>
              <c:f>'Chicago Community Areas'!$B$35</c:f>
              <c:strCache>
                <c:ptCount val="1"/>
                <c:pt idx="0">
                  <c:v>Kenwood Hyde Park</c:v>
                </c:pt>
              </c:strCache>
            </c:strRef>
          </c:tx>
          <c:spPr>
            <a:ln w="12700">
              <a:solidFill>
                <a:srgbClr val="0000FF"/>
              </a:solidFill>
              <a:prstDash val="solid"/>
            </a:ln>
          </c:spPr>
          <c:marker>
            <c:symbol val="circle"/>
            <c:size val="10"/>
            <c:spPr>
              <a:solidFill>
                <a:srgbClr val="0000FF"/>
              </a:solidFill>
              <a:ln>
                <a:solidFill>
                  <a:srgbClr val="0000FF"/>
                </a:solidFill>
                <a:prstDash val="solid"/>
              </a:ln>
            </c:spPr>
          </c:marker>
          <c:cat>
            <c:numRef>
              <c:f>'Chicago Community Areas'!$C$34:$M$34</c:f>
              <c:numCache>
                <c:formatCode>General</c:formatCode>
                <c:ptCount val="11"/>
                <c:pt idx="0">
                  <c:v>1940</c:v>
                </c:pt>
                <c:pt idx="1">
                  <c:v>1950</c:v>
                </c:pt>
                <c:pt idx="2">
                  <c:v>1960</c:v>
                </c:pt>
                <c:pt idx="3">
                  <c:v>1970</c:v>
                </c:pt>
                <c:pt idx="4">
                  <c:v>1980</c:v>
                </c:pt>
                <c:pt idx="5">
                  <c:v>1990</c:v>
                </c:pt>
                <c:pt idx="6">
                  <c:v>2000</c:v>
                </c:pt>
                <c:pt idx="7">
                  <c:v>2010</c:v>
                </c:pt>
                <c:pt idx="8">
                  <c:v>2020</c:v>
                </c:pt>
                <c:pt idx="9">
                  <c:v>2030</c:v>
                </c:pt>
                <c:pt idx="10">
                  <c:v>2040</c:v>
                </c:pt>
              </c:numCache>
            </c:numRef>
          </c:cat>
          <c:val>
            <c:numRef>
              <c:f>'Chicago Community Areas'!$C$35:$M$35</c:f>
              <c:numCache>
                <c:formatCode>_(* #,##0_);_(* \(#,##0\);_(* "-"??_);_(@_)</c:formatCode>
                <c:ptCount val="11"/>
                <c:pt idx="0">
                  <c:v>80161</c:v>
                </c:pt>
                <c:pt idx="1">
                  <c:v>90911</c:v>
                </c:pt>
                <c:pt idx="2">
                  <c:v>87110</c:v>
                </c:pt>
                <c:pt idx="3">
                  <c:v>60467</c:v>
                </c:pt>
                <c:pt idx="4">
                  <c:v>53172</c:v>
                </c:pt>
                <c:pt idx="5">
                  <c:v>46808</c:v>
                </c:pt>
                <c:pt idx="6">
                  <c:v>48283</c:v>
                </c:pt>
                <c:pt idx="7">
                  <c:v>47500</c:v>
                </c:pt>
              </c:numCache>
            </c:numRef>
          </c:val>
          <c:smooth val="0"/>
        </c:ser>
        <c:ser>
          <c:idx val="1"/>
          <c:order val="1"/>
          <c:tx>
            <c:strRef>
              <c:f>'Chicago Community Areas'!$B$36</c:f>
              <c:strCache>
                <c:ptCount val="1"/>
                <c:pt idx="0">
                  <c:v>Kenwood Hyde Park</c:v>
                </c:pt>
              </c:strCache>
            </c:strRef>
          </c:tx>
          <c:spPr>
            <a:ln w="38100">
              <a:solidFill>
                <a:srgbClr val="FF0000"/>
              </a:solidFill>
              <a:prstDash val="solid"/>
            </a:ln>
          </c:spPr>
          <c:marker>
            <c:symbol val="none"/>
          </c:marker>
          <c:cat>
            <c:numRef>
              <c:f>'Chicago Community Areas'!$C$34:$M$34</c:f>
              <c:numCache>
                <c:formatCode>General</c:formatCode>
                <c:ptCount val="11"/>
                <c:pt idx="0">
                  <c:v>1940</c:v>
                </c:pt>
                <c:pt idx="1">
                  <c:v>1950</c:v>
                </c:pt>
                <c:pt idx="2">
                  <c:v>1960</c:v>
                </c:pt>
                <c:pt idx="3">
                  <c:v>1970</c:v>
                </c:pt>
                <c:pt idx="4">
                  <c:v>1980</c:v>
                </c:pt>
                <c:pt idx="5">
                  <c:v>1990</c:v>
                </c:pt>
                <c:pt idx="6">
                  <c:v>2000</c:v>
                </c:pt>
                <c:pt idx="7">
                  <c:v>2010</c:v>
                </c:pt>
                <c:pt idx="8">
                  <c:v>2020</c:v>
                </c:pt>
                <c:pt idx="9">
                  <c:v>2030</c:v>
                </c:pt>
                <c:pt idx="10">
                  <c:v>2040</c:v>
                </c:pt>
              </c:numCache>
            </c:numRef>
          </c:cat>
          <c:val>
            <c:numRef>
              <c:f>'Chicago Community Areas'!$C$36:$M$36</c:f>
              <c:numCache>
                <c:formatCode>General</c:formatCode>
                <c:ptCount val="11"/>
                <c:pt idx="7" formatCode="_(* #,##0_);_(* \(#,##0\);_(* &quot;-&quot;??_);_(@_)">
                  <c:v>51716</c:v>
                </c:pt>
                <c:pt idx="8" formatCode="_(* #,##0_);_(* \(#,##0\);_(* &quot;-&quot;??_);_(@_)">
                  <c:v>52235.666666666584</c:v>
                </c:pt>
                <c:pt idx="9" formatCode="_(* #,##0_);_(* \(#,##0\);_(* &quot;-&quot;??_);_(@_)">
                  <c:v>52755.333333333328</c:v>
                </c:pt>
                <c:pt idx="10" formatCode="_(* #,##0_);_(* \(#,##0\);_(* &quot;-&quot;??_);_(@_)">
                  <c:v>53275</c:v>
                </c:pt>
              </c:numCache>
            </c:numRef>
          </c:val>
          <c:smooth val="0"/>
        </c:ser>
        <c:dLbls>
          <c:showLegendKey val="0"/>
          <c:showVal val="0"/>
          <c:showCatName val="0"/>
          <c:showSerName val="0"/>
          <c:showPercent val="0"/>
          <c:showBubbleSize val="0"/>
        </c:dLbls>
        <c:marker val="1"/>
        <c:smooth val="0"/>
        <c:axId val="75662464"/>
        <c:axId val="75664000"/>
      </c:lineChart>
      <c:catAx>
        <c:axId val="756624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entury Schoolbook"/>
                <a:ea typeface="Century Schoolbook"/>
                <a:cs typeface="Century Schoolbook"/>
              </a:defRPr>
            </a:pPr>
            <a:endParaRPr lang="en-US"/>
          </a:p>
        </c:txPr>
        <c:crossAx val="75664000"/>
        <c:crosses val="autoZero"/>
        <c:auto val="1"/>
        <c:lblAlgn val="ctr"/>
        <c:lblOffset val="100"/>
        <c:tickLblSkip val="1"/>
        <c:tickMarkSkip val="1"/>
        <c:noMultiLvlLbl val="0"/>
      </c:catAx>
      <c:valAx>
        <c:axId val="75664000"/>
        <c:scaling>
          <c:orientation val="minMax"/>
          <c:max val="160000"/>
        </c:scaling>
        <c:delete val="0"/>
        <c:axPos val="l"/>
        <c:majorGridlines>
          <c:spPr>
            <a:ln w="3175">
              <a:solidFill>
                <a:srgbClr val="000000"/>
              </a:solidFill>
              <a:prstDash val="solid"/>
            </a:ln>
          </c:spPr>
        </c:majorGridlines>
        <c:numFmt formatCode="_(* #,##0_);_(* \(#,##0\);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entury Schoolbook"/>
                <a:ea typeface="Century Schoolbook"/>
                <a:cs typeface="Century Schoolbook"/>
              </a:defRPr>
            </a:pPr>
            <a:endParaRPr lang="en-US"/>
          </a:p>
        </c:txPr>
        <c:crossAx val="75662464"/>
        <c:crosses val="autoZero"/>
        <c:crossBetween val="between"/>
      </c:valAx>
      <c:spPr>
        <a:solidFill>
          <a:srgbClr val="C0C0C0"/>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Century Schoolbook"/>
          <a:ea typeface="Century Schoolbook"/>
          <a:cs typeface="Century Schoolbook"/>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entury Schoolbook"/>
                <a:ea typeface="Century Schoolbook"/>
                <a:cs typeface="Century Schoolbook"/>
              </a:defRPr>
            </a:pPr>
            <a:r>
              <a:rPr lang="en-US"/>
              <a:t>Naperville Township</a:t>
            </a:r>
          </a:p>
        </c:rich>
      </c:tx>
      <c:layout>
        <c:manualLayout>
          <c:xMode val="edge"/>
          <c:yMode val="edge"/>
          <c:x val="0.38313440788451053"/>
          <c:y val="0.19955478039819841"/>
        </c:manualLayout>
      </c:layout>
      <c:overlay val="0"/>
      <c:spPr>
        <a:noFill/>
        <a:ln w="25400">
          <a:noFill/>
        </a:ln>
      </c:spPr>
    </c:title>
    <c:autoTitleDeleted val="0"/>
    <c:plotArea>
      <c:layout>
        <c:manualLayout>
          <c:layoutTarget val="inner"/>
          <c:xMode val="edge"/>
          <c:yMode val="edge"/>
          <c:x val="7.7691453940067004E-2"/>
          <c:y val="8.6460032626427402E-2"/>
          <c:w val="0.91231964483906758"/>
          <c:h val="0.80587275693311966"/>
        </c:manualLayout>
      </c:layout>
      <c:lineChart>
        <c:grouping val="standard"/>
        <c:varyColors val="0"/>
        <c:ser>
          <c:idx val="0"/>
          <c:order val="0"/>
          <c:tx>
            <c:strRef>
              <c:f>Data!$E$308</c:f>
              <c:strCache>
                <c:ptCount val="1"/>
                <c:pt idx="0">
                  <c:v>Naperville Township - Historic</c:v>
                </c:pt>
              </c:strCache>
            </c:strRef>
          </c:tx>
          <c:spPr>
            <a:ln w="12700">
              <a:solidFill>
                <a:srgbClr val="0000FF"/>
              </a:solidFill>
              <a:prstDash val="solid"/>
            </a:ln>
          </c:spPr>
          <c:marker>
            <c:symbol val="circle"/>
            <c:size val="10"/>
            <c:spPr>
              <a:solidFill>
                <a:srgbClr val="0000FF"/>
              </a:solidFill>
              <a:ln>
                <a:solidFill>
                  <a:srgbClr val="0000FF"/>
                </a:solidFill>
                <a:prstDash val="solid"/>
              </a:ln>
            </c:spPr>
          </c:marker>
          <c:cat>
            <c:numRef>
              <c:f>Data!$F$307:$P$307</c:f>
              <c:numCache>
                <c:formatCode>0</c:formatCode>
                <c:ptCount val="11"/>
                <c:pt idx="0">
                  <c:v>1940</c:v>
                </c:pt>
                <c:pt idx="1">
                  <c:v>1950</c:v>
                </c:pt>
                <c:pt idx="2">
                  <c:v>1960</c:v>
                </c:pt>
                <c:pt idx="3">
                  <c:v>1970</c:v>
                </c:pt>
                <c:pt idx="4">
                  <c:v>1980</c:v>
                </c:pt>
                <c:pt idx="5">
                  <c:v>1990</c:v>
                </c:pt>
                <c:pt idx="6">
                  <c:v>2000</c:v>
                </c:pt>
                <c:pt idx="7">
                  <c:v>2010</c:v>
                </c:pt>
                <c:pt idx="8">
                  <c:v>2020</c:v>
                </c:pt>
                <c:pt idx="9">
                  <c:v>2030</c:v>
                </c:pt>
                <c:pt idx="10">
                  <c:v>2040</c:v>
                </c:pt>
              </c:numCache>
            </c:numRef>
          </c:cat>
          <c:val>
            <c:numRef>
              <c:f>Data!$F$308:$P$308</c:f>
              <c:numCache>
                <c:formatCode>#,##0</c:formatCode>
                <c:ptCount val="11"/>
                <c:pt idx="0">
                  <c:v>4800</c:v>
                </c:pt>
                <c:pt idx="1">
                  <c:v>4861</c:v>
                </c:pt>
                <c:pt idx="2">
                  <c:v>8218</c:v>
                </c:pt>
                <c:pt idx="3">
                  <c:v>13028</c:v>
                </c:pt>
                <c:pt idx="4">
                  <c:v>21053</c:v>
                </c:pt>
                <c:pt idx="5">
                  <c:v>49533</c:v>
                </c:pt>
                <c:pt idx="6">
                  <c:v>85736</c:v>
                </c:pt>
                <c:pt idx="7">
                  <c:v>96647</c:v>
                </c:pt>
              </c:numCache>
            </c:numRef>
          </c:val>
          <c:smooth val="0"/>
        </c:ser>
        <c:ser>
          <c:idx val="1"/>
          <c:order val="1"/>
          <c:tx>
            <c:strRef>
              <c:f>Data!$E$309</c:f>
              <c:strCache>
                <c:ptCount val="1"/>
                <c:pt idx="0">
                  <c:v>Naperville Township - CMAP 2040</c:v>
                </c:pt>
              </c:strCache>
            </c:strRef>
          </c:tx>
          <c:spPr>
            <a:ln w="38100">
              <a:solidFill>
                <a:srgbClr val="FF0000"/>
              </a:solidFill>
              <a:prstDash val="solid"/>
            </a:ln>
          </c:spPr>
          <c:marker>
            <c:symbol val="none"/>
          </c:marker>
          <c:cat>
            <c:numRef>
              <c:f>Data!$F$307:$P$307</c:f>
              <c:numCache>
                <c:formatCode>0</c:formatCode>
                <c:ptCount val="11"/>
                <c:pt idx="0">
                  <c:v>1940</c:v>
                </c:pt>
                <c:pt idx="1">
                  <c:v>1950</c:v>
                </c:pt>
                <c:pt idx="2">
                  <c:v>1960</c:v>
                </c:pt>
                <c:pt idx="3">
                  <c:v>1970</c:v>
                </c:pt>
                <c:pt idx="4">
                  <c:v>1980</c:v>
                </c:pt>
                <c:pt idx="5">
                  <c:v>1990</c:v>
                </c:pt>
                <c:pt idx="6">
                  <c:v>2000</c:v>
                </c:pt>
                <c:pt idx="7">
                  <c:v>2010</c:v>
                </c:pt>
                <c:pt idx="8">
                  <c:v>2020</c:v>
                </c:pt>
                <c:pt idx="9">
                  <c:v>2030</c:v>
                </c:pt>
                <c:pt idx="10">
                  <c:v>2040</c:v>
                </c:pt>
              </c:numCache>
            </c:numRef>
          </c:cat>
          <c:val>
            <c:numRef>
              <c:f>Data!$F$309:$P$309</c:f>
              <c:numCache>
                <c:formatCode>General</c:formatCode>
                <c:ptCount val="11"/>
                <c:pt idx="7" formatCode="#,##0">
                  <c:v>98061</c:v>
                </c:pt>
                <c:pt idx="8" formatCode="#,##0">
                  <c:v>107709</c:v>
                </c:pt>
                <c:pt idx="9" formatCode="#,##0">
                  <c:v>117357</c:v>
                </c:pt>
                <c:pt idx="10" formatCode="#,##0">
                  <c:v>127005</c:v>
                </c:pt>
              </c:numCache>
            </c:numRef>
          </c:val>
          <c:smooth val="0"/>
        </c:ser>
        <c:dLbls>
          <c:showLegendKey val="0"/>
          <c:showVal val="0"/>
          <c:showCatName val="0"/>
          <c:showSerName val="0"/>
          <c:showPercent val="0"/>
          <c:showBubbleSize val="0"/>
        </c:dLbls>
        <c:marker val="1"/>
        <c:smooth val="0"/>
        <c:axId val="89484672"/>
        <c:axId val="95761536"/>
      </c:lineChart>
      <c:catAx>
        <c:axId val="89484672"/>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entury Schoolbook"/>
                <a:ea typeface="Century Schoolbook"/>
                <a:cs typeface="Century Schoolbook"/>
              </a:defRPr>
            </a:pPr>
            <a:endParaRPr lang="en-US"/>
          </a:p>
        </c:txPr>
        <c:crossAx val="95761536"/>
        <c:crosses val="autoZero"/>
        <c:auto val="1"/>
        <c:lblAlgn val="ctr"/>
        <c:lblOffset val="100"/>
        <c:tickLblSkip val="1"/>
        <c:tickMarkSkip val="1"/>
        <c:noMultiLvlLbl val="0"/>
      </c:catAx>
      <c:valAx>
        <c:axId val="95761536"/>
        <c:scaling>
          <c:orientation val="minMax"/>
          <c:max val="16000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entury Schoolbook"/>
                <a:ea typeface="Century Schoolbook"/>
                <a:cs typeface="Century Schoolbook"/>
              </a:defRPr>
            </a:pPr>
            <a:endParaRPr lang="en-US"/>
          </a:p>
        </c:txPr>
        <c:crossAx val="89484672"/>
        <c:crosses val="autoZero"/>
        <c:crossBetween val="between"/>
      </c:valAx>
      <c:spPr>
        <a:solidFill>
          <a:srgbClr val="C0C0C0"/>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Century Schoolbook"/>
          <a:ea typeface="Century Schoolbook"/>
          <a:cs typeface="Century Schoolbook"/>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entury Schoolbook"/>
                <a:ea typeface="Century Schoolbook"/>
                <a:cs typeface="Century Schoolbook"/>
              </a:defRPr>
            </a:pPr>
            <a:r>
              <a:rPr lang="en-US"/>
              <a:t>Wayne Township</a:t>
            </a:r>
          </a:p>
        </c:rich>
      </c:tx>
      <c:layout>
        <c:manualLayout>
          <c:xMode val="edge"/>
          <c:yMode val="edge"/>
          <c:x val="0.34657730971756945"/>
          <c:y val="0.19983214413641881"/>
        </c:manualLayout>
      </c:layout>
      <c:overlay val="0"/>
      <c:spPr>
        <a:noFill/>
        <a:ln w="25400">
          <a:noFill/>
        </a:ln>
      </c:spPr>
    </c:title>
    <c:autoTitleDeleted val="0"/>
    <c:plotArea>
      <c:layout>
        <c:manualLayout>
          <c:layoutTarget val="inner"/>
          <c:xMode val="edge"/>
          <c:yMode val="edge"/>
          <c:x val="0.11954857743340222"/>
          <c:y val="0.12071778140293662"/>
          <c:w val="0.88045142256660003"/>
          <c:h val="0.73070525981989076"/>
        </c:manualLayout>
      </c:layout>
      <c:lineChart>
        <c:grouping val="standard"/>
        <c:varyColors val="0"/>
        <c:ser>
          <c:idx val="0"/>
          <c:order val="0"/>
          <c:tx>
            <c:strRef>
              <c:f>Data!$E$312</c:f>
              <c:strCache>
                <c:ptCount val="1"/>
                <c:pt idx="0">
                  <c:v>Wayne Township - Historic</c:v>
                </c:pt>
              </c:strCache>
            </c:strRef>
          </c:tx>
          <c:spPr>
            <a:ln w="12700">
              <a:solidFill>
                <a:srgbClr val="0000FF"/>
              </a:solidFill>
              <a:prstDash val="solid"/>
            </a:ln>
          </c:spPr>
          <c:marker>
            <c:symbol val="circle"/>
            <c:size val="10"/>
            <c:spPr>
              <a:solidFill>
                <a:srgbClr val="0000FF"/>
              </a:solidFill>
              <a:ln>
                <a:solidFill>
                  <a:srgbClr val="0000FF"/>
                </a:solidFill>
                <a:prstDash val="solid"/>
              </a:ln>
            </c:spPr>
          </c:marker>
          <c:cat>
            <c:numRef>
              <c:f>Data!$F$311:$P$311</c:f>
              <c:numCache>
                <c:formatCode>0</c:formatCode>
                <c:ptCount val="11"/>
                <c:pt idx="0">
                  <c:v>1940</c:v>
                </c:pt>
                <c:pt idx="1">
                  <c:v>1950</c:v>
                </c:pt>
                <c:pt idx="2">
                  <c:v>1960</c:v>
                </c:pt>
                <c:pt idx="3">
                  <c:v>1970</c:v>
                </c:pt>
                <c:pt idx="4">
                  <c:v>1980</c:v>
                </c:pt>
                <c:pt idx="5">
                  <c:v>1990</c:v>
                </c:pt>
                <c:pt idx="6">
                  <c:v>2000</c:v>
                </c:pt>
                <c:pt idx="7">
                  <c:v>2010</c:v>
                </c:pt>
                <c:pt idx="8">
                  <c:v>2020</c:v>
                </c:pt>
                <c:pt idx="9">
                  <c:v>2030</c:v>
                </c:pt>
                <c:pt idx="10">
                  <c:v>2040</c:v>
                </c:pt>
              </c:numCache>
            </c:numRef>
          </c:cat>
          <c:val>
            <c:numRef>
              <c:f>Data!$F$312:$P$312</c:f>
              <c:numCache>
                <c:formatCode>#,##0</c:formatCode>
                <c:ptCount val="11"/>
                <c:pt idx="0">
                  <c:v>1929</c:v>
                </c:pt>
                <c:pt idx="1">
                  <c:v>2065</c:v>
                </c:pt>
                <c:pt idx="2">
                  <c:v>3077</c:v>
                </c:pt>
                <c:pt idx="3">
                  <c:v>5485</c:v>
                </c:pt>
                <c:pt idx="4">
                  <c:v>23246</c:v>
                </c:pt>
                <c:pt idx="5">
                  <c:v>40379</c:v>
                </c:pt>
                <c:pt idx="6">
                  <c:v>63776</c:v>
                </c:pt>
                <c:pt idx="7">
                  <c:v>70247</c:v>
                </c:pt>
              </c:numCache>
            </c:numRef>
          </c:val>
          <c:smooth val="0"/>
        </c:ser>
        <c:ser>
          <c:idx val="1"/>
          <c:order val="1"/>
          <c:tx>
            <c:strRef>
              <c:f>Data!$E$313</c:f>
              <c:strCache>
                <c:ptCount val="1"/>
                <c:pt idx="0">
                  <c:v>Wayne Township - CMAP 2040</c:v>
                </c:pt>
              </c:strCache>
            </c:strRef>
          </c:tx>
          <c:spPr>
            <a:ln w="38100">
              <a:solidFill>
                <a:srgbClr val="FF0000"/>
              </a:solidFill>
              <a:prstDash val="solid"/>
            </a:ln>
          </c:spPr>
          <c:marker>
            <c:symbol val="none"/>
          </c:marker>
          <c:cat>
            <c:numRef>
              <c:f>Data!$F$311:$P$311</c:f>
              <c:numCache>
                <c:formatCode>0</c:formatCode>
                <c:ptCount val="11"/>
                <c:pt idx="0">
                  <c:v>1940</c:v>
                </c:pt>
                <c:pt idx="1">
                  <c:v>1950</c:v>
                </c:pt>
                <c:pt idx="2">
                  <c:v>1960</c:v>
                </c:pt>
                <c:pt idx="3">
                  <c:v>1970</c:v>
                </c:pt>
                <c:pt idx="4">
                  <c:v>1980</c:v>
                </c:pt>
                <c:pt idx="5">
                  <c:v>1990</c:v>
                </c:pt>
                <c:pt idx="6">
                  <c:v>2000</c:v>
                </c:pt>
                <c:pt idx="7">
                  <c:v>2010</c:v>
                </c:pt>
                <c:pt idx="8">
                  <c:v>2020</c:v>
                </c:pt>
                <c:pt idx="9">
                  <c:v>2030</c:v>
                </c:pt>
                <c:pt idx="10">
                  <c:v>2040</c:v>
                </c:pt>
              </c:numCache>
            </c:numRef>
          </c:cat>
          <c:val>
            <c:numRef>
              <c:f>Data!$F$313:$P$313</c:f>
              <c:numCache>
                <c:formatCode>General</c:formatCode>
                <c:ptCount val="11"/>
                <c:pt idx="7" formatCode="#,##0">
                  <c:v>69267</c:v>
                </c:pt>
                <c:pt idx="8" formatCode="#,##0">
                  <c:v>73434</c:v>
                </c:pt>
                <c:pt idx="9" formatCode="#,##0">
                  <c:v>77601</c:v>
                </c:pt>
                <c:pt idx="10" formatCode="#,##0">
                  <c:v>81768</c:v>
                </c:pt>
              </c:numCache>
            </c:numRef>
          </c:val>
          <c:smooth val="0"/>
        </c:ser>
        <c:dLbls>
          <c:showLegendKey val="0"/>
          <c:showVal val="0"/>
          <c:showCatName val="0"/>
          <c:showSerName val="0"/>
          <c:showPercent val="0"/>
          <c:showBubbleSize val="0"/>
        </c:dLbls>
        <c:marker val="1"/>
        <c:smooth val="0"/>
        <c:axId val="95798784"/>
        <c:axId val="95800320"/>
      </c:lineChart>
      <c:catAx>
        <c:axId val="9579878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entury Schoolbook"/>
                <a:ea typeface="Century Schoolbook"/>
                <a:cs typeface="Century Schoolbook"/>
              </a:defRPr>
            </a:pPr>
            <a:endParaRPr lang="en-US"/>
          </a:p>
        </c:txPr>
        <c:crossAx val="95800320"/>
        <c:crosses val="autoZero"/>
        <c:auto val="1"/>
        <c:lblAlgn val="ctr"/>
        <c:lblOffset val="100"/>
        <c:tickLblSkip val="1"/>
        <c:tickMarkSkip val="1"/>
        <c:noMultiLvlLbl val="0"/>
      </c:catAx>
      <c:valAx>
        <c:axId val="95800320"/>
        <c:scaling>
          <c:orientation val="minMax"/>
          <c:max val="10000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entury Schoolbook"/>
                <a:ea typeface="Century Schoolbook"/>
                <a:cs typeface="Century Schoolbook"/>
              </a:defRPr>
            </a:pPr>
            <a:endParaRPr lang="en-US"/>
          </a:p>
        </c:txPr>
        <c:crossAx val="95798784"/>
        <c:crosses val="autoZero"/>
        <c:crossBetween val="between"/>
      </c:valAx>
      <c:spPr>
        <a:solidFill>
          <a:srgbClr val="C0C0C0"/>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Century Schoolbook"/>
          <a:ea typeface="Century Schoolbook"/>
          <a:cs typeface="Century Schoolbook"/>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spPr>
            <a:ln w="28575">
              <a:noFill/>
            </a:ln>
          </c:spPr>
          <c:trendline>
            <c:trendlineType val="linear"/>
            <c:dispRSqr val="1"/>
            <c:dispEq val="1"/>
            <c:trendlineLbl>
              <c:layout>
                <c:manualLayout>
                  <c:x val="-0.16724212598425225"/>
                  <c:y val="2.4540682414698201E-2"/>
                </c:manualLayout>
              </c:layout>
              <c:numFmt formatCode="General" sourceLinked="0"/>
            </c:trendlineLbl>
          </c:trendline>
          <c:xVal>
            <c:numRef>
              <c:f>totals!$N$21:$N$125</c:f>
              <c:numCache>
                <c:formatCode>#,##0</c:formatCode>
                <c:ptCount val="105"/>
                <c:pt idx="0">
                  <c:v>5.2869030111927504</c:v>
                </c:pt>
                <c:pt idx="1">
                  <c:v>38.772808058214594</c:v>
                </c:pt>
                <c:pt idx="2">
                  <c:v>65.513478056917648</c:v>
                </c:pt>
                <c:pt idx="3">
                  <c:v>87.095912785935496</c:v>
                </c:pt>
                <c:pt idx="4">
                  <c:v>118.40444735543655</c:v>
                </c:pt>
                <c:pt idx="5">
                  <c:v>128.21146286315383</c:v>
                </c:pt>
                <c:pt idx="6">
                  <c:v>155.35660546239205</c:v>
                </c:pt>
                <c:pt idx="7">
                  <c:v>160.40098752084995</c:v>
                </c:pt>
                <c:pt idx="8">
                  <c:v>166.69439965367565</c:v>
                </c:pt>
                <c:pt idx="9">
                  <c:v>191.21296975186257</c:v>
                </c:pt>
                <c:pt idx="10">
                  <c:v>201.73043944019147</c:v>
                </c:pt>
                <c:pt idx="11">
                  <c:v>245.05361882257483</c:v>
                </c:pt>
                <c:pt idx="12">
                  <c:v>246.54391433204998</c:v>
                </c:pt>
                <c:pt idx="13">
                  <c:v>265.21256180071447</c:v>
                </c:pt>
                <c:pt idx="14">
                  <c:v>317.11395805425127</c:v>
                </c:pt>
                <c:pt idx="15">
                  <c:v>334.48860699736724</c:v>
                </c:pt>
                <c:pt idx="16">
                  <c:v>371.20819120664851</c:v>
                </c:pt>
                <c:pt idx="17">
                  <c:v>404.31755004105753</c:v>
                </c:pt>
                <c:pt idx="18">
                  <c:v>404.60777026716414</c:v>
                </c:pt>
                <c:pt idx="19">
                  <c:v>426.11335210277184</c:v>
                </c:pt>
                <c:pt idx="20">
                  <c:v>513.52752935897809</c:v>
                </c:pt>
                <c:pt idx="21">
                  <c:v>527.07445355507195</c:v>
                </c:pt>
                <c:pt idx="22">
                  <c:v>544.33584703129031</c:v>
                </c:pt>
                <c:pt idx="23">
                  <c:v>557.5777837027581</c:v>
                </c:pt>
                <c:pt idx="24">
                  <c:v>566.09992196560052</c:v>
                </c:pt>
                <c:pt idx="25">
                  <c:v>641.77134377316474</c:v>
                </c:pt>
                <c:pt idx="26">
                  <c:v>714.21325203163303</c:v>
                </c:pt>
                <c:pt idx="27">
                  <c:v>725.000024338</c:v>
                </c:pt>
                <c:pt idx="28">
                  <c:v>753.02639576502042</c:v>
                </c:pt>
                <c:pt idx="29">
                  <c:v>764.26211812049883</c:v>
                </c:pt>
                <c:pt idx="30">
                  <c:v>793.42872328235751</c:v>
                </c:pt>
                <c:pt idx="31">
                  <c:v>832.95818750120816</c:v>
                </c:pt>
                <c:pt idx="32">
                  <c:v>843.45989657133305</c:v>
                </c:pt>
                <c:pt idx="33">
                  <c:v>910.40571554213841</c:v>
                </c:pt>
                <c:pt idx="34">
                  <c:v>937.65959359329509</c:v>
                </c:pt>
                <c:pt idx="35">
                  <c:v>1008.2464221464079</c:v>
                </c:pt>
                <c:pt idx="36">
                  <c:v>1090.8516169277905</c:v>
                </c:pt>
                <c:pt idx="37">
                  <c:v>1108.882314543943</c:v>
                </c:pt>
                <c:pt idx="38">
                  <c:v>1115.3746326721498</c:v>
                </c:pt>
                <c:pt idx="39">
                  <c:v>1134.6558776648051</c:v>
                </c:pt>
                <c:pt idx="40">
                  <c:v>1212.8768745166658</c:v>
                </c:pt>
                <c:pt idx="41">
                  <c:v>1238.9564631322989</c:v>
                </c:pt>
                <c:pt idx="42">
                  <c:v>1249.7494977604251</c:v>
                </c:pt>
                <c:pt idx="43">
                  <c:v>1257.2471258826911</c:v>
                </c:pt>
                <c:pt idx="44">
                  <c:v>1298.6530431965148</c:v>
                </c:pt>
                <c:pt idx="45">
                  <c:v>1332.914778427556</c:v>
                </c:pt>
                <c:pt idx="46">
                  <c:v>1382.3024148845898</c:v>
                </c:pt>
                <c:pt idx="47">
                  <c:v>1455.1244814646889</c:v>
                </c:pt>
                <c:pt idx="48">
                  <c:v>1470.1131758441097</c:v>
                </c:pt>
                <c:pt idx="49">
                  <c:v>1495.7401503970559</c:v>
                </c:pt>
                <c:pt idx="50">
                  <c:v>1506.5915269018597</c:v>
                </c:pt>
                <c:pt idx="51">
                  <c:v>1508.162895598811</c:v>
                </c:pt>
                <c:pt idx="52">
                  <c:v>1542.2703964441716</c:v>
                </c:pt>
                <c:pt idx="53">
                  <c:v>1575.6764793779698</c:v>
                </c:pt>
                <c:pt idx="54">
                  <c:v>1626.4028154424007</c:v>
                </c:pt>
                <c:pt idx="55">
                  <c:v>1655.8252063604632</c:v>
                </c:pt>
                <c:pt idx="56">
                  <c:v>1757.3568595744291</c:v>
                </c:pt>
                <c:pt idx="57">
                  <c:v>1921.518392381884</c:v>
                </c:pt>
                <c:pt idx="58">
                  <c:v>1926.6879236918298</c:v>
                </c:pt>
                <c:pt idx="59">
                  <c:v>1947.9768472107025</c:v>
                </c:pt>
                <c:pt idx="60">
                  <c:v>1960.0199047823451</c:v>
                </c:pt>
                <c:pt idx="61">
                  <c:v>2014.3168848660193</c:v>
                </c:pt>
                <c:pt idx="62">
                  <c:v>2043.8916366707579</c:v>
                </c:pt>
                <c:pt idx="63">
                  <c:v>2158.651679400059</c:v>
                </c:pt>
                <c:pt idx="64">
                  <c:v>2248.4754696644</c:v>
                </c:pt>
                <c:pt idx="65">
                  <c:v>2298.1249865928157</c:v>
                </c:pt>
                <c:pt idx="66">
                  <c:v>2310.5199312325099</c:v>
                </c:pt>
                <c:pt idx="67">
                  <c:v>2382.5466851115666</c:v>
                </c:pt>
                <c:pt idx="68">
                  <c:v>2401.443671519999</c:v>
                </c:pt>
                <c:pt idx="69">
                  <c:v>2406.3424937827804</c:v>
                </c:pt>
                <c:pt idx="70">
                  <c:v>2463.65046201104</c:v>
                </c:pt>
                <c:pt idx="71">
                  <c:v>2595.1851050260493</c:v>
                </c:pt>
                <c:pt idx="72">
                  <c:v>2628.9345823193012</c:v>
                </c:pt>
                <c:pt idx="73">
                  <c:v>2741.2194254790397</c:v>
                </c:pt>
                <c:pt idx="74">
                  <c:v>2858.6106719176237</c:v>
                </c:pt>
                <c:pt idx="75">
                  <c:v>2899.6508230600234</c:v>
                </c:pt>
                <c:pt idx="76">
                  <c:v>3052.3804608538167</c:v>
                </c:pt>
                <c:pt idx="77">
                  <c:v>3150.0512761216182</c:v>
                </c:pt>
                <c:pt idx="78">
                  <c:v>3153.7339706989751</c:v>
                </c:pt>
                <c:pt idx="79">
                  <c:v>3633.2069040022143</c:v>
                </c:pt>
                <c:pt idx="80">
                  <c:v>3823.4746710248687</c:v>
                </c:pt>
                <c:pt idx="81">
                  <c:v>3907.2855134899801</c:v>
                </c:pt>
                <c:pt idx="82">
                  <c:v>4001.0681724929073</c:v>
                </c:pt>
                <c:pt idx="83">
                  <c:v>4307.2548442537054</c:v>
                </c:pt>
                <c:pt idx="84">
                  <c:v>4322.4909786254502</c:v>
                </c:pt>
                <c:pt idx="85">
                  <c:v>4723.5200074893401</c:v>
                </c:pt>
                <c:pt idx="86">
                  <c:v>4924.9853859437353</c:v>
                </c:pt>
                <c:pt idx="87">
                  <c:v>5000.1544495691542</c:v>
                </c:pt>
                <c:pt idx="88">
                  <c:v>5065.774458751338</c:v>
                </c:pt>
                <c:pt idx="89">
                  <c:v>5251.9758552560033</c:v>
                </c:pt>
                <c:pt idx="90">
                  <c:v>5429.3980434098066</c:v>
                </c:pt>
                <c:pt idx="91">
                  <c:v>5436.2243251107957</c:v>
                </c:pt>
                <c:pt idx="92">
                  <c:v>5474.4939809566768</c:v>
                </c:pt>
                <c:pt idx="93">
                  <c:v>6684.3338288804962</c:v>
                </c:pt>
                <c:pt idx="94">
                  <c:v>6769.9478208142482</c:v>
                </c:pt>
                <c:pt idx="95">
                  <c:v>6835.007308005037</c:v>
                </c:pt>
                <c:pt idx="96">
                  <c:v>7027.5761510921693</c:v>
                </c:pt>
                <c:pt idx="97">
                  <c:v>7393.9230226785348</c:v>
                </c:pt>
                <c:pt idx="98">
                  <c:v>7791.4025448705543</c:v>
                </c:pt>
                <c:pt idx="99">
                  <c:v>7875.0165085222034</c:v>
                </c:pt>
                <c:pt idx="100">
                  <c:v>8145.1304877805696</c:v>
                </c:pt>
                <c:pt idx="101">
                  <c:v>9073.0724000521368</c:v>
                </c:pt>
                <c:pt idx="102">
                  <c:v>9502.8022368040911</c:v>
                </c:pt>
                <c:pt idx="103">
                  <c:v>9973.7949882645607</c:v>
                </c:pt>
                <c:pt idx="104">
                  <c:v>18076.083334433635</c:v>
                </c:pt>
              </c:numCache>
            </c:numRef>
          </c:xVal>
          <c:yVal>
            <c:numRef>
              <c:f>totals!$M$21:$M$125</c:f>
              <c:numCache>
                <c:formatCode>#,##0</c:formatCode>
                <c:ptCount val="105"/>
                <c:pt idx="0">
                  <c:v>60.102775019833452</c:v>
                </c:pt>
                <c:pt idx="1">
                  <c:v>14.182497106266704</c:v>
                </c:pt>
                <c:pt idx="2">
                  <c:v>257.21871325799742</c:v>
                </c:pt>
                <c:pt idx="3">
                  <c:v>357.84267800186797</c:v>
                </c:pt>
                <c:pt idx="4">
                  <c:v>39.193191084300032</c:v>
                </c:pt>
                <c:pt idx="5">
                  <c:v>189.91128939956653</c:v>
                </c:pt>
                <c:pt idx="6">
                  <c:v>392.03586690830065</c:v>
                </c:pt>
                <c:pt idx="7">
                  <c:v>19.055144547200026</c:v>
                </c:pt>
                <c:pt idx="8">
                  <c:v>276.51190852599899</c:v>
                </c:pt>
                <c:pt idx="9">
                  <c:v>10.501116153733278</c:v>
                </c:pt>
                <c:pt idx="10">
                  <c:v>73.754982451699888</c:v>
                </c:pt>
                <c:pt idx="11">
                  <c:v>337.76447331943456</c:v>
                </c:pt>
                <c:pt idx="12">
                  <c:v>37.514309628066513</c:v>
                </c:pt>
                <c:pt idx="13">
                  <c:v>265.77200940226669</c:v>
                </c:pt>
                <c:pt idx="14">
                  <c:v>1803.7914569599398</c:v>
                </c:pt>
                <c:pt idx="15">
                  <c:v>303.27774442103322</c:v>
                </c:pt>
                <c:pt idx="16">
                  <c:v>23.785566745399915</c:v>
                </c:pt>
                <c:pt idx="17">
                  <c:v>200.99780502243394</c:v>
                </c:pt>
                <c:pt idx="18">
                  <c:v>52.983247186366391</c:v>
                </c:pt>
                <c:pt idx="19">
                  <c:v>612.04139771963321</c:v>
                </c:pt>
                <c:pt idx="20">
                  <c:v>2907.8834483293467</c:v>
                </c:pt>
                <c:pt idx="21">
                  <c:v>412.63873254916695</c:v>
                </c:pt>
                <c:pt idx="22">
                  <c:v>1282.2837058572334</c:v>
                </c:pt>
                <c:pt idx="23">
                  <c:v>591.50944459126754</c:v>
                </c:pt>
                <c:pt idx="24">
                  <c:v>2871.4055420157342</c:v>
                </c:pt>
                <c:pt idx="25">
                  <c:v>631.031976926933</c:v>
                </c:pt>
                <c:pt idx="26">
                  <c:v>1381.1906220999952</c:v>
                </c:pt>
                <c:pt idx="27">
                  <c:v>1007.4760708670685</c:v>
                </c:pt>
                <c:pt idx="28">
                  <c:v>2393.1347909097044</c:v>
                </c:pt>
                <c:pt idx="29">
                  <c:v>2545.4414322555476</c:v>
                </c:pt>
                <c:pt idx="30">
                  <c:v>1074.4474291784306</c:v>
                </c:pt>
                <c:pt idx="31">
                  <c:v>2316.2086536099637</c:v>
                </c:pt>
                <c:pt idx="32">
                  <c:v>852.97493437156902</c:v>
                </c:pt>
                <c:pt idx="33">
                  <c:v>979.22350497876914</c:v>
                </c:pt>
                <c:pt idx="34">
                  <c:v>263.89542048963312</c:v>
                </c:pt>
                <c:pt idx="35">
                  <c:v>157.89344609593317</c:v>
                </c:pt>
                <c:pt idx="36">
                  <c:v>2725.4333193602811</c:v>
                </c:pt>
                <c:pt idx="37">
                  <c:v>327.21718382470038</c:v>
                </c:pt>
                <c:pt idx="38">
                  <c:v>1037.0701047123978</c:v>
                </c:pt>
                <c:pt idx="39">
                  <c:v>285.91800417579969</c:v>
                </c:pt>
                <c:pt idx="40">
                  <c:v>761.84621196373246</c:v>
                </c:pt>
                <c:pt idx="41">
                  <c:v>2610.0202877951297</c:v>
                </c:pt>
                <c:pt idx="42">
                  <c:v>704.27823901290003</c:v>
                </c:pt>
                <c:pt idx="43">
                  <c:v>2316.9032394545002</c:v>
                </c:pt>
                <c:pt idx="44">
                  <c:v>3582.9523502984816</c:v>
                </c:pt>
                <c:pt idx="45">
                  <c:v>1517.6240516114194</c:v>
                </c:pt>
                <c:pt idx="46">
                  <c:v>582.56411191843347</c:v>
                </c:pt>
                <c:pt idx="47">
                  <c:v>3261.8576138400458</c:v>
                </c:pt>
                <c:pt idx="48">
                  <c:v>2492.0091580733765</c:v>
                </c:pt>
                <c:pt idx="49">
                  <c:v>1703.6951503327339</c:v>
                </c:pt>
                <c:pt idx="50">
                  <c:v>4449.2111188753024</c:v>
                </c:pt>
                <c:pt idx="51">
                  <c:v>1219.0395081133302</c:v>
                </c:pt>
                <c:pt idx="52">
                  <c:v>855.66253604480096</c:v>
                </c:pt>
                <c:pt idx="53">
                  <c:v>670.2711846241682</c:v>
                </c:pt>
                <c:pt idx="54">
                  <c:v>1164.9927445351648</c:v>
                </c:pt>
                <c:pt idx="55">
                  <c:v>3680.7301750893612</c:v>
                </c:pt>
                <c:pt idx="56">
                  <c:v>3297.6528211766449</c:v>
                </c:pt>
                <c:pt idx="57">
                  <c:v>2213.8973418978662</c:v>
                </c:pt>
                <c:pt idx="58">
                  <c:v>3320.1950394287587</c:v>
                </c:pt>
                <c:pt idx="59">
                  <c:v>1507.1862452046978</c:v>
                </c:pt>
                <c:pt idx="60">
                  <c:v>1905.679887249069</c:v>
                </c:pt>
                <c:pt idx="61">
                  <c:v>2615.0919354750672</c:v>
                </c:pt>
                <c:pt idx="62">
                  <c:v>1561.2445286534598</c:v>
                </c:pt>
                <c:pt idx="63">
                  <c:v>1518.0953232257343</c:v>
                </c:pt>
                <c:pt idx="64">
                  <c:v>1761.0546253412331</c:v>
                </c:pt>
                <c:pt idx="65">
                  <c:v>893.99562660180288</c:v>
                </c:pt>
                <c:pt idx="66">
                  <c:v>1928.9930991359358</c:v>
                </c:pt>
                <c:pt idx="67">
                  <c:v>6904.9842332941298</c:v>
                </c:pt>
                <c:pt idx="68">
                  <c:v>4892.3960782563354</c:v>
                </c:pt>
                <c:pt idx="69">
                  <c:v>7160.0020246301901</c:v>
                </c:pt>
                <c:pt idx="70">
                  <c:v>3925.6371385690722</c:v>
                </c:pt>
                <c:pt idx="71">
                  <c:v>1195.7223479360978</c:v>
                </c:pt>
                <c:pt idx="72">
                  <c:v>1505.1763778133284</c:v>
                </c:pt>
                <c:pt idx="73">
                  <c:v>4867.6408648234865</c:v>
                </c:pt>
                <c:pt idx="74">
                  <c:v>2177.0905308327092</c:v>
                </c:pt>
                <c:pt idx="75">
                  <c:v>3730.288686117819</c:v>
                </c:pt>
                <c:pt idx="76">
                  <c:v>2451.3977713171626</c:v>
                </c:pt>
                <c:pt idx="77">
                  <c:v>2019.8284978871354</c:v>
                </c:pt>
                <c:pt idx="78">
                  <c:v>4331.9518180678324</c:v>
                </c:pt>
                <c:pt idx="79">
                  <c:v>1857.4626216400711</c:v>
                </c:pt>
                <c:pt idx="80">
                  <c:v>12392.568884668335</c:v>
                </c:pt>
                <c:pt idx="81">
                  <c:v>4390.8335335197344</c:v>
                </c:pt>
                <c:pt idx="82">
                  <c:v>2414.5842553342318</c:v>
                </c:pt>
                <c:pt idx="83">
                  <c:v>1298.7847020882643</c:v>
                </c:pt>
                <c:pt idx="84">
                  <c:v>2829.6859980435001</c:v>
                </c:pt>
                <c:pt idx="85">
                  <c:v>2148.7014099158687</c:v>
                </c:pt>
                <c:pt idx="86">
                  <c:v>3140.3564599812066</c:v>
                </c:pt>
                <c:pt idx="87">
                  <c:v>1761.9846037250711</c:v>
                </c:pt>
                <c:pt idx="88">
                  <c:v>5417.9359392703309</c:v>
                </c:pt>
                <c:pt idx="89">
                  <c:v>3006.524593731267</c:v>
                </c:pt>
                <c:pt idx="90">
                  <c:v>5196.7066225794861</c:v>
                </c:pt>
                <c:pt idx="91">
                  <c:v>2698.4514715909072</c:v>
                </c:pt>
                <c:pt idx="92">
                  <c:v>4175.8297954971304</c:v>
                </c:pt>
                <c:pt idx="93">
                  <c:v>5931.7359888437295</c:v>
                </c:pt>
                <c:pt idx="94">
                  <c:v>6403.5617762927213</c:v>
                </c:pt>
                <c:pt idx="95">
                  <c:v>3107.9492060057332</c:v>
                </c:pt>
                <c:pt idx="96">
                  <c:v>2522.0991482277068</c:v>
                </c:pt>
                <c:pt idx="97">
                  <c:v>4524.5197730238024</c:v>
                </c:pt>
                <c:pt idx="98">
                  <c:v>3614.4656150361952</c:v>
                </c:pt>
                <c:pt idx="99">
                  <c:v>3992.0569947525892</c:v>
                </c:pt>
                <c:pt idx="100">
                  <c:v>6821.9345222713309</c:v>
                </c:pt>
                <c:pt idx="101">
                  <c:v>3834.9822940087197</c:v>
                </c:pt>
                <c:pt idx="102">
                  <c:v>3878.279680288068</c:v>
                </c:pt>
                <c:pt idx="103">
                  <c:v>5584.8622286808059</c:v>
                </c:pt>
                <c:pt idx="104">
                  <c:v>13593.895842590166</c:v>
                </c:pt>
              </c:numCache>
            </c:numRef>
          </c:yVal>
          <c:smooth val="0"/>
        </c:ser>
        <c:ser>
          <c:idx val="0"/>
          <c:order val="0"/>
          <c:spPr>
            <a:ln w="28575">
              <a:noFill/>
            </a:ln>
          </c:spPr>
          <c:trendline>
            <c:trendlineType val="linear"/>
            <c:dispRSqr val="0"/>
            <c:dispEq val="0"/>
          </c:trendline>
          <c:trendline>
            <c:trendlineType val="linear"/>
            <c:dispRSqr val="1"/>
            <c:dispEq val="1"/>
            <c:trendlineLbl>
              <c:layout>
                <c:manualLayout>
                  <c:x val="0.3294715660542466"/>
                  <c:y val="8.1546733741615626E-2"/>
                </c:manualLayout>
              </c:layout>
              <c:numFmt formatCode="General" sourceLinked="0"/>
            </c:trendlineLbl>
          </c:trendline>
          <c:xVal>
            <c:numRef>
              <c:f>decline!$B$2:$B$20</c:f>
              <c:numCache>
                <c:formatCode>#,##0</c:formatCode>
                <c:ptCount val="19"/>
                <c:pt idx="0">
                  <c:v>6979.111050055365</c:v>
                </c:pt>
                <c:pt idx="1">
                  <c:v>6654.2220155720233</c:v>
                </c:pt>
                <c:pt idx="2">
                  <c:v>2792.3294415111354</c:v>
                </c:pt>
                <c:pt idx="3">
                  <c:v>2775.4703664818062</c:v>
                </c:pt>
                <c:pt idx="4">
                  <c:v>3082.1663101665981</c:v>
                </c:pt>
                <c:pt idx="5">
                  <c:v>944.17911356233662</c:v>
                </c:pt>
                <c:pt idx="6">
                  <c:v>2557.0051884040367</c:v>
                </c:pt>
                <c:pt idx="7">
                  <c:v>2739.864140099402</c:v>
                </c:pt>
                <c:pt idx="8">
                  <c:v>2502.2850529474722</c:v>
                </c:pt>
                <c:pt idx="9">
                  <c:v>696.94852190243296</c:v>
                </c:pt>
                <c:pt idx="10">
                  <c:v>414.91332416399899</c:v>
                </c:pt>
                <c:pt idx="11">
                  <c:v>136.78483018903341</c:v>
                </c:pt>
                <c:pt idx="12">
                  <c:v>213.09915703159999</c:v>
                </c:pt>
                <c:pt idx="13">
                  <c:v>2.0858227340333193</c:v>
                </c:pt>
                <c:pt idx="14">
                  <c:v>150.72673471306678</c:v>
                </c:pt>
                <c:pt idx="15">
                  <c:v>27.448337730399849</c:v>
                </c:pt>
                <c:pt idx="16">
                  <c:v>12.686023937933292</c:v>
                </c:pt>
                <c:pt idx="17">
                  <c:v>9.7572606896667509</c:v>
                </c:pt>
                <c:pt idx="18">
                  <c:v>72.664503096666678</c:v>
                </c:pt>
              </c:numCache>
            </c:numRef>
          </c:xVal>
          <c:yVal>
            <c:numRef>
              <c:f>decline!$C$2:$C$20</c:f>
              <c:numCache>
                <c:formatCode>#,##0</c:formatCode>
                <c:ptCount val="19"/>
                <c:pt idx="0">
                  <c:v>-5294.7081773351765</c:v>
                </c:pt>
                <c:pt idx="1">
                  <c:v>-3499.4673798637377</c:v>
                </c:pt>
                <c:pt idx="2">
                  <c:v>-2645.9666922290053</c:v>
                </c:pt>
                <c:pt idx="3">
                  <c:v>-2042.0282795170824</c:v>
                </c:pt>
                <c:pt idx="4">
                  <c:v>-1304.1435681300209</c:v>
                </c:pt>
                <c:pt idx="5">
                  <c:v>-976.08510292108292</c:v>
                </c:pt>
                <c:pt idx="6">
                  <c:v>-690.76934522741453</c:v>
                </c:pt>
                <c:pt idx="7">
                  <c:v>-507.96224246318889</c:v>
                </c:pt>
                <c:pt idx="8">
                  <c:v>-294.47858052139054</c:v>
                </c:pt>
                <c:pt idx="9">
                  <c:v>-255.24995516409459</c:v>
                </c:pt>
                <c:pt idx="10">
                  <c:v>-242.97668064948078</c:v>
                </c:pt>
                <c:pt idx="11">
                  <c:v>-232.81723500041701</c:v>
                </c:pt>
                <c:pt idx="12">
                  <c:v>-119.44989017001853</c:v>
                </c:pt>
                <c:pt idx="13">
                  <c:v>-70.378136962575894</c:v>
                </c:pt>
                <c:pt idx="14">
                  <c:v>-65.042467126567189</c:v>
                </c:pt>
                <c:pt idx="15">
                  <c:v>-57.594746059314943</c:v>
                </c:pt>
                <c:pt idx="16">
                  <c:v>-22.478383115407553</c:v>
                </c:pt>
                <c:pt idx="17">
                  <c:v>-17.146998760322546</c:v>
                </c:pt>
                <c:pt idx="18">
                  <c:v>-16.928572412722772</c:v>
                </c:pt>
              </c:numCache>
            </c:numRef>
          </c:yVal>
          <c:smooth val="0"/>
        </c:ser>
        <c:dLbls>
          <c:showLegendKey val="0"/>
          <c:showVal val="0"/>
          <c:showCatName val="0"/>
          <c:showSerName val="0"/>
          <c:showPercent val="0"/>
          <c:showBubbleSize val="0"/>
        </c:dLbls>
        <c:axId val="96249728"/>
        <c:axId val="96256000"/>
      </c:scatterChart>
      <c:valAx>
        <c:axId val="96249728"/>
        <c:scaling>
          <c:orientation val="minMax"/>
        </c:scaling>
        <c:delete val="0"/>
        <c:axPos val="b"/>
        <c:title>
          <c:tx>
            <c:rich>
              <a:bodyPr/>
              <a:lstStyle/>
              <a:p>
                <a:pPr>
                  <a:defRPr/>
                </a:pPr>
                <a:r>
                  <a:rPr lang="en-US"/>
                  <a:t>Growth per</a:t>
                </a:r>
                <a:r>
                  <a:rPr lang="en-US" baseline="0"/>
                  <a:t> decade 2010 - 2040</a:t>
                </a:r>
                <a:endParaRPr lang="en-US"/>
              </a:p>
            </c:rich>
          </c:tx>
          <c:overlay val="0"/>
        </c:title>
        <c:numFmt formatCode="#,##0" sourceLinked="1"/>
        <c:majorTickMark val="out"/>
        <c:minorTickMark val="none"/>
        <c:tickLblPos val="high"/>
        <c:crossAx val="96256000"/>
        <c:crossesAt val="0"/>
        <c:crossBetween val="midCat"/>
      </c:valAx>
      <c:valAx>
        <c:axId val="96256000"/>
        <c:scaling>
          <c:orientation val="minMax"/>
        </c:scaling>
        <c:delete val="0"/>
        <c:axPos val="l"/>
        <c:title>
          <c:tx>
            <c:rich>
              <a:bodyPr rot="-5400000" vert="horz"/>
              <a:lstStyle/>
              <a:p>
                <a:pPr>
                  <a:defRPr/>
                </a:pPr>
                <a:r>
                  <a:rPr lang="en-US"/>
                  <a:t>Growth per decade 1990 - 2010</a:t>
                </a:r>
              </a:p>
            </c:rich>
          </c:tx>
          <c:overlay val="0"/>
        </c:title>
        <c:numFmt formatCode="#,##0" sourceLinked="1"/>
        <c:majorTickMark val="out"/>
        <c:minorTickMark val="none"/>
        <c:tickLblPos val="nextTo"/>
        <c:crossAx val="96249728"/>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64129483814568"/>
          <c:y val="5.1400554097404488E-2"/>
          <c:w val="0.73019203849519065"/>
          <c:h val="0.70005358705161858"/>
        </c:manualLayout>
      </c:layout>
      <c:scatterChart>
        <c:scatterStyle val="lineMarker"/>
        <c:varyColors val="0"/>
        <c:ser>
          <c:idx val="1"/>
          <c:order val="0"/>
          <c:tx>
            <c:v>Equal growth</c:v>
          </c:tx>
          <c:spPr>
            <a:ln w="12700">
              <a:solidFill>
                <a:schemeClr val="bg1">
                  <a:lumMod val="65000"/>
                </a:schemeClr>
              </a:solidFill>
            </a:ln>
          </c:spPr>
          <c:marker>
            <c:symbol val="none"/>
          </c:marker>
          <c:xVal>
            <c:numRef>
              <c:f>outliers!$AA$22:$AA$33</c:f>
              <c:numCache>
                <c:formatCode>General</c:formatCode>
                <c:ptCount val="12"/>
                <c:pt idx="0">
                  <c:v>0</c:v>
                </c:pt>
                <c:pt idx="1">
                  <c:v>1000</c:v>
                </c:pt>
                <c:pt idx="2">
                  <c:v>2000</c:v>
                </c:pt>
                <c:pt idx="3">
                  <c:v>3000</c:v>
                </c:pt>
                <c:pt idx="4">
                  <c:v>4000</c:v>
                </c:pt>
                <c:pt idx="5">
                  <c:v>5000</c:v>
                </c:pt>
                <c:pt idx="6">
                  <c:v>6000</c:v>
                </c:pt>
                <c:pt idx="7">
                  <c:v>7000</c:v>
                </c:pt>
                <c:pt idx="8">
                  <c:v>8000</c:v>
                </c:pt>
                <c:pt idx="9">
                  <c:v>9000</c:v>
                </c:pt>
                <c:pt idx="10">
                  <c:v>10000</c:v>
                </c:pt>
              </c:numCache>
            </c:numRef>
          </c:xVal>
          <c:yVal>
            <c:numRef>
              <c:f>outliers!$AB$22:$AB$33</c:f>
              <c:numCache>
                <c:formatCode>General</c:formatCode>
                <c:ptCount val="12"/>
                <c:pt idx="0">
                  <c:v>0</c:v>
                </c:pt>
                <c:pt idx="1">
                  <c:v>1000</c:v>
                </c:pt>
                <c:pt idx="2">
                  <c:v>2000</c:v>
                </c:pt>
                <c:pt idx="3">
                  <c:v>3000</c:v>
                </c:pt>
                <c:pt idx="4">
                  <c:v>4000</c:v>
                </c:pt>
                <c:pt idx="5">
                  <c:v>5000</c:v>
                </c:pt>
                <c:pt idx="6">
                  <c:v>6000</c:v>
                </c:pt>
                <c:pt idx="7">
                  <c:v>7000</c:v>
                </c:pt>
                <c:pt idx="8">
                  <c:v>8000</c:v>
                </c:pt>
                <c:pt idx="9">
                  <c:v>9000</c:v>
                </c:pt>
                <c:pt idx="10">
                  <c:v>10000</c:v>
                </c:pt>
              </c:numCache>
            </c:numRef>
          </c:yVal>
          <c:smooth val="0"/>
        </c:ser>
        <c:ser>
          <c:idx val="0"/>
          <c:order val="1"/>
          <c:spPr>
            <a:ln w="28575">
              <a:noFill/>
            </a:ln>
          </c:spPr>
          <c:xVal>
            <c:numRef>
              <c:f>outliers!$M$2:$M$102</c:f>
              <c:numCache>
                <c:formatCode>#,##0</c:formatCode>
                <c:ptCount val="101"/>
                <c:pt idx="0">
                  <c:v>157.89344609593272</c:v>
                </c:pt>
                <c:pt idx="1">
                  <c:v>200.99780502243362</c:v>
                </c:pt>
                <c:pt idx="2">
                  <c:v>412.63873254916695</c:v>
                </c:pt>
                <c:pt idx="3">
                  <c:v>612.04139771963321</c:v>
                </c:pt>
                <c:pt idx="4">
                  <c:v>1164.9927445351657</c:v>
                </c:pt>
                <c:pt idx="5">
                  <c:v>852.97493437156754</c:v>
                </c:pt>
                <c:pt idx="6">
                  <c:v>2610.0202877951297</c:v>
                </c:pt>
                <c:pt idx="7">
                  <c:v>257.21871325799873</c:v>
                </c:pt>
                <c:pt idx="8">
                  <c:v>4449.2111188753024</c:v>
                </c:pt>
                <c:pt idx="9">
                  <c:v>2725.4333193602752</c:v>
                </c:pt>
                <c:pt idx="10">
                  <c:v>10.501116153733278</c:v>
                </c:pt>
                <c:pt idx="11">
                  <c:v>23.785566745399976</c:v>
                </c:pt>
                <c:pt idx="12">
                  <c:v>19.055144547200026</c:v>
                </c:pt>
                <c:pt idx="13">
                  <c:v>52.983247186366576</c:v>
                </c:pt>
                <c:pt idx="14">
                  <c:v>5417.9359392703309</c:v>
                </c:pt>
                <c:pt idx="15">
                  <c:v>3006.524593731267</c:v>
                </c:pt>
                <c:pt idx="16">
                  <c:v>4331.9518180678324</c:v>
                </c:pt>
                <c:pt idx="17">
                  <c:v>5196.7066225794715</c:v>
                </c:pt>
                <c:pt idx="18">
                  <c:v>392.03586690830065</c:v>
                </c:pt>
                <c:pt idx="19">
                  <c:v>37.514309628066599</c:v>
                </c:pt>
                <c:pt idx="20">
                  <c:v>327.21718382470038</c:v>
                </c:pt>
                <c:pt idx="21">
                  <c:v>285.91800417579969</c:v>
                </c:pt>
                <c:pt idx="22">
                  <c:v>5584.862228680784</c:v>
                </c:pt>
                <c:pt idx="23">
                  <c:v>3992.0569947525892</c:v>
                </c:pt>
                <c:pt idx="24">
                  <c:v>3730.2886861178299</c:v>
                </c:pt>
                <c:pt idx="25">
                  <c:v>3107.9492060057332</c:v>
                </c:pt>
                <c:pt idx="26">
                  <c:v>3297.6528211766504</c:v>
                </c:pt>
                <c:pt idx="27">
                  <c:v>1505.1763778133309</c:v>
                </c:pt>
                <c:pt idx="28">
                  <c:v>2829.6859980435001</c:v>
                </c:pt>
                <c:pt idx="29">
                  <c:v>3878.279680288068</c:v>
                </c:pt>
                <c:pt idx="30">
                  <c:v>6821.9345222713309</c:v>
                </c:pt>
                <c:pt idx="31">
                  <c:v>4524.5197730238024</c:v>
                </c:pt>
                <c:pt idx="32">
                  <c:v>1507.1862452046978</c:v>
                </c:pt>
                <c:pt idx="33">
                  <c:v>1074.4474291784306</c:v>
                </c:pt>
                <c:pt idx="34">
                  <c:v>73.754982451699888</c:v>
                </c:pt>
                <c:pt idx="35">
                  <c:v>3925.6371385690718</c:v>
                </c:pt>
                <c:pt idx="36">
                  <c:v>6403.5617762927213</c:v>
                </c:pt>
                <c:pt idx="37">
                  <c:v>3834.9822940087197</c:v>
                </c:pt>
                <c:pt idx="38">
                  <c:v>4390.8335335197344</c:v>
                </c:pt>
                <c:pt idx="39">
                  <c:v>4892.3960782563354</c:v>
                </c:pt>
                <c:pt idx="40">
                  <c:v>2393.1347909097044</c:v>
                </c:pt>
                <c:pt idx="41">
                  <c:v>1517.6240516114194</c:v>
                </c:pt>
                <c:pt idx="42">
                  <c:v>14.182497106266677</c:v>
                </c:pt>
                <c:pt idx="43">
                  <c:v>979.22350497876755</c:v>
                </c:pt>
                <c:pt idx="44">
                  <c:v>2698.4514715909072</c:v>
                </c:pt>
                <c:pt idx="45">
                  <c:v>855.66253604480096</c:v>
                </c:pt>
                <c:pt idx="46">
                  <c:v>1928.9930991359358</c:v>
                </c:pt>
                <c:pt idx="47">
                  <c:v>3320.1950394287587</c:v>
                </c:pt>
                <c:pt idx="48">
                  <c:v>337.76447331943388</c:v>
                </c:pt>
                <c:pt idx="49">
                  <c:v>761.84621196373246</c:v>
                </c:pt>
                <c:pt idx="50">
                  <c:v>1857.4626216400711</c:v>
                </c:pt>
                <c:pt idx="51">
                  <c:v>1298.7847020882643</c:v>
                </c:pt>
                <c:pt idx="52">
                  <c:v>2451.3977713171626</c:v>
                </c:pt>
                <c:pt idx="53">
                  <c:v>2316.9032394545002</c:v>
                </c:pt>
                <c:pt idx="54">
                  <c:v>357.84267800186723</c:v>
                </c:pt>
                <c:pt idx="55">
                  <c:v>1282.2837058572334</c:v>
                </c:pt>
                <c:pt idx="56">
                  <c:v>4175.8297954971304</c:v>
                </c:pt>
                <c:pt idx="57">
                  <c:v>2148.7014099158687</c:v>
                </c:pt>
                <c:pt idx="58">
                  <c:v>2316.2086536099637</c:v>
                </c:pt>
                <c:pt idx="59">
                  <c:v>1803.7914569599398</c:v>
                </c:pt>
                <c:pt idx="60">
                  <c:v>2871.4055420157342</c:v>
                </c:pt>
                <c:pt idx="61">
                  <c:v>3680.7301750893612</c:v>
                </c:pt>
                <c:pt idx="62">
                  <c:v>2213.8973418978662</c:v>
                </c:pt>
                <c:pt idx="63">
                  <c:v>704.27823901290003</c:v>
                </c:pt>
                <c:pt idx="64">
                  <c:v>4867.6408648234756</c:v>
                </c:pt>
                <c:pt idx="65">
                  <c:v>3140.3564599812066</c:v>
                </c:pt>
                <c:pt idx="66">
                  <c:v>591.50944459126754</c:v>
                </c:pt>
                <c:pt idx="67">
                  <c:v>1905.679887249069</c:v>
                </c:pt>
                <c:pt idx="68">
                  <c:v>2907.8834483293467</c:v>
                </c:pt>
                <c:pt idx="69">
                  <c:v>2492.0091580733706</c:v>
                </c:pt>
                <c:pt idx="70">
                  <c:v>2545.4414322555381</c:v>
                </c:pt>
                <c:pt idx="71">
                  <c:v>276.51190852599944</c:v>
                </c:pt>
                <c:pt idx="72">
                  <c:v>5931.7359888437295</c:v>
                </c:pt>
                <c:pt idx="73">
                  <c:v>2522.0991482277068</c:v>
                </c:pt>
                <c:pt idx="74">
                  <c:v>582.56411191843347</c:v>
                </c:pt>
                <c:pt idx="75">
                  <c:v>893.99562660180288</c:v>
                </c:pt>
                <c:pt idx="76">
                  <c:v>2414.5842553342318</c:v>
                </c:pt>
                <c:pt idx="77">
                  <c:v>3261.8576138400367</c:v>
                </c:pt>
                <c:pt idx="78">
                  <c:v>263.89542048963312</c:v>
                </c:pt>
                <c:pt idx="79">
                  <c:v>189.91128939956653</c:v>
                </c:pt>
                <c:pt idx="80">
                  <c:v>1219.0395081133302</c:v>
                </c:pt>
                <c:pt idx="81">
                  <c:v>2615.0919354750672</c:v>
                </c:pt>
                <c:pt idx="82">
                  <c:v>1761.0546253412331</c:v>
                </c:pt>
                <c:pt idx="83">
                  <c:v>1195.7223479360978</c:v>
                </c:pt>
                <c:pt idx="84">
                  <c:v>1518.0953232257343</c:v>
                </c:pt>
                <c:pt idx="85">
                  <c:v>670.27118462416649</c:v>
                </c:pt>
                <c:pt idx="86">
                  <c:v>265.77200940226669</c:v>
                </c:pt>
                <c:pt idx="87">
                  <c:v>39.193191084300032</c:v>
                </c:pt>
                <c:pt idx="88">
                  <c:v>1381.1906220999983</c:v>
                </c:pt>
                <c:pt idx="89">
                  <c:v>3582.952350298473</c:v>
                </c:pt>
                <c:pt idx="90">
                  <c:v>2019.8284978871354</c:v>
                </c:pt>
                <c:pt idx="91">
                  <c:v>3614.4656150361952</c:v>
                </c:pt>
                <c:pt idx="92">
                  <c:v>1761.9846037250697</c:v>
                </c:pt>
                <c:pt idx="93">
                  <c:v>1703.6951503327339</c:v>
                </c:pt>
                <c:pt idx="94">
                  <c:v>631.031976926933</c:v>
                </c:pt>
                <c:pt idx="95">
                  <c:v>60.102775019833452</c:v>
                </c:pt>
                <c:pt idx="96">
                  <c:v>1007.4760708670671</c:v>
                </c:pt>
                <c:pt idx="97">
                  <c:v>1037.0701047123978</c:v>
                </c:pt>
                <c:pt idx="98">
                  <c:v>2177.0905308327033</c:v>
                </c:pt>
                <c:pt idx="99">
                  <c:v>303.27774442103322</c:v>
                </c:pt>
                <c:pt idx="100">
                  <c:v>1561.2445286534598</c:v>
                </c:pt>
              </c:numCache>
            </c:numRef>
          </c:xVal>
          <c:yVal>
            <c:numRef>
              <c:f>outliers!$N$2:$N$102</c:f>
              <c:numCache>
                <c:formatCode>#,##0</c:formatCode>
                <c:ptCount val="101"/>
                <c:pt idx="0">
                  <c:v>1008.2464221464079</c:v>
                </c:pt>
                <c:pt idx="1">
                  <c:v>404.31755004105753</c:v>
                </c:pt>
                <c:pt idx="2">
                  <c:v>527.07445355507036</c:v>
                </c:pt>
                <c:pt idx="3">
                  <c:v>426.11335210277184</c:v>
                </c:pt>
                <c:pt idx="4">
                  <c:v>1626.4028154423982</c:v>
                </c:pt>
                <c:pt idx="5">
                  <c:v>843.45989657133305</c:v>
                </c:pt>
                <c:pt idx="6">
                  <c:v>1238.9564631322958</c:v>
                </c:pt>
                <c:pt idx="7">
                  <c:v>65.513478056917648</c:v>
                </c:pt>
                <c:pt idx="8">
                  <c:v>1506.5915269018597</c:v>
                </c:pt>
                <c:pt idx="9">
                  <c:v>1090.8516169277905</c:v>
                </c:pt>
                <c:pt idx="10">
                  <c:v>191.21296975186308</c:v>
                </c:pt>
                <c:pt idx="11">
                  <c:v>371.20819120664919</c:v>
                </c:pt>
                <c:pt idx="12">
                  <c:v>160.40098752084995</c:v>
                </c:pt>
                <c:pt idx="13">
                  <c:v>404.60777026716414</c:v>
                </c:pt>
                <c:pt idx="14">
                  <c:v>5065.774458751338</c:v>
                </c:pt>
                <c:pt idx="15">
                  <c:v>5251.9758552560161</c:v>
                </c:pt>
                <c:pt idx="16">
                  <c:v>3153.7339706989751</c:v>
                </c:pt>
                <c:pt idx="17">
                  <c:v>5429.3980434097957</c:v>
                </c:pt>
                <c:pt idx="18">
                  <c:v>155.35660546239205</c:v>
                </c:pt>
                <c:pt idx="19">
                  <c:v>246.54391433204998</c:v>
                </c:pt>
                <c:pt idx="20">
                  <c:v>1108.8823145439471</c:v>
                </c:pt>
                <c:pt idx="21">
                  <c:v>1134.6558776648051</c:v>
                </c:pt>
                <c:pt idx="22">
                  <c:v>9973.7949882645607</c:v>
                </c:pt>
                <c:pt idx="23">
                  <c:v>7875.0165085222034</c:v>
                </c:pt>
                <c:pt idx="24">
                  <c:v>2899.6508230600234</c:v>
                </c:pt>
                <c:pt idx="25">
                  <c:v>6835.007308005037</c:v>
                </c:pt>
                <c:pt idx="26">
                  <c:v>1757.3568595744291</c:v>
                </c:pt>
                <c:pt idx="27">
                  <c:v>2628.9345823193012</c:v>
                </c:pt>
                <c:pt idx="28">
                  <c:v>4322.4909786254502</c:v>
                </c:pt>
                <c:pt idx="29">
                  <c:v>9502.8022368040911</c:v>
                </c:pt>
                <c:pt idx="30">
                  <c:v>8145.1304877805696</c:v>
                </c:pt>
                <c:pt idx="31">
                  <c:v>7393.9230226785348</c:v>
                </c:pt>
                <c:pt idx="32">
                  <c:v>1947.9768472107025</c:v>
                </c:pt>
                <c:pt idx="33">
                  <c:v>793.42872328235751</c:v>
                </c:pt>
                <c:pt idx="34">
                  <c:v>201.73043944019147</c:v>
                </c:pt>
                <c:pt idx="35">
                  <c:v>2463.65046201104</c:v>
                </c:pt>
                <c:pt idx="36">
                  <c:v>6769.9478208142582</c:v>
                </c:pt>
                <c:pt idx="37">
                  <c:v>9073.0724000521368</c:v>
                </c:pt>
                <c:pt idx="38">
                  <c:v>3907.2855134899801</c:v>
                </c:pt>
                <c:pt idx="39">
                  <c:v>2401.443671519999</c:v>
                </c:pt>
                <c:pt idx="40">
                  <c:v>753.02639576502042</c:v>
                </c:pt>
                <c:pt idx="41">
                  <c:v>1332.914778427556</c:v>
                </c:pt>
                <c:pt idx="42">
                  <c:v>38.772808058214601</c:v>
                </c:pt>
                <c:pt idx="43">
                  <c:v>910.40571554213693</c:v>
                </c:pt>
                <c:pt idx="44">
                  <c:v>5436.2243251107957</c:v>
                </c:pt>
                <c:pt idx="45">
                  <c:v>1542.2703964441716</c:v>
                </c:pt>
                <c:pt idx="46">
                  <c:v>2310.5199312325008</c:v>
                </c:pt>
                <c:pt idx="47">
                  <c:v>1926.6879236918305</c:v>
                </c:pt>
                <c:pt idx="48">
                  <c:v>245.05361882257483</c:v>
                </c:pt>
                <c:pt idx="49">
                  <c:v>1212.8768745166658</c:v>
                </c:pt>
                <c:pt idx="50">
                  <c:v>3633.2069040022143</c:v>
                </c:pt>
                <c:pt idx="51">
                  <c:v>4307.2548442537054</c:v>
                </c:pt>
                <c:pt idx="52">
                  <c:v>3052.3804608538167</c:v>
                </c:pt>
                <c:pt idx="53">
                  <c:v>1257.2471258826911</c:v>
                </c:pt>
                <c:pt idx="54">
                  <c:v>87.095912785935496</c:v>
                </c:pt>
                <c:pt idx="55">
                  <c:v>544.33584703129031</c:v>
                </c:pt>
                <c:pt idx="56">
                  <c:v>5474.4939809566768</c:v>
                </c:pt>
                <c:pt idx="57">
                  <c:v>4723.5200074893301</c:v>
                </c:pt>
                <c:pt idx="58">
                  <c:v>832.95818750120816</c:v>
                </c:pt>
                <c:pt idx="59">
                  <c:v>317.11395805425127</c:v>
                </c:pt>
                <c:pt idx="60">
                  <c:v>566.09992196560052</c:v>
                </c:pt>
                <c:pt idx="61">
                  <c:v>1655.8252063604632</c:v>
                </c:pt>
                <c:pt idx="62">
                  <c:v>1921.518392381884</c:v>
                </c:pt>
                <c:pt idx="63">
                  <c:v>1249.7494977604251</c:v>
                </c:pt>
                <c:pt idx="64">
                  <c:v>2741.2194254790397</c:v>
                </c:pt>
                <c:pt idx="65">
                  <c:v>4924.9853859437462</c:v>
                </c:pt>
                <c:pt idx="66">
                  <c:v>557.5777837027581</c:v>
                </c:pt>
                <c:pt idx="67">
                  <c:v>1960.0199047823451</c:v>
                </c:pt>
                <c:pt idx="68">
                  <c:v>513.52752935897945</c:v>
                </c:pt>
                <c:pt idx="69">
                  <c:v>1470.1131758441097</c:v>
                </c:pt>
                <c:pt idx="70">
                  <c:v>764.26211812050042</c:v>
                </c:pt>
                <c:pt idx="71">
                  <c:v>166.69439965367533</c:v>
                </c:pt>
                <c:pt idx="72">
                  <c:v>6684.3338288804962</c:v>
                </c:pt>
                <c:pt idx="73">
                  <c:v>7027.5761510921693</c:v>
                </c:pt>
                <c:pt idx="74">
                  <c:v>1382.3024148845898</c:v>
                </c:pt>
                <c:pt idx="75">
                  <c:v>2298.1249865928157</c:v>
                </c:pt>
                <c:pt idx="76">
                  <c:v>4001.0681724929073</c:v>
                </c:pt>
                <c:pt idx="77">
                  <c:v>1455.1244814646889</c:v>
                </c:pt>
                <c:pt idx="78">
                  <c:v>937.65959359329509</c:v>
                </c:pt>
                <c:pt idx="79">
                  <c:v>128.21146286315414</c:v>
                </c:pt>
                <c:pt idx="80">
                  <c:v>1508.1628955988144</c:v>
                </c:pt>
                <c:pt idx="81">
                  <c:v>2014.3168848660193</c:v>
                </c:pt>
                <c:pt idx="82">
                  <c:v>2248.4754696644</c:v>
                </c:pt>
                <c:pt idx="83">
                  <c:v>2595.1851050260493</c:v>
                </c:pt>
                <c:pt idx="84">
                  <c:v>2158.651679400059</c:v>
                </c:pt>
                <c:pt idx="85">
                  <c:v>1575.6764793779698</c:v>
                </c:pt>
                <c:pt idx="86">
                  <c:v>265.21256180071447</c:v>
                </c:pt>
                <c:pt idx="87">
                  <c:v>118.40444735543663</c:v>
                </c:pt>
                <c:pt idx="88">
                  <c:v>714.21325203163269</c:v>
                </c:pt>
                <c:pt idx="89">
                  <c:v>1298.6530431965148</c:v>
                </c:pt>
                <c:pt idx="90">
                  <c:v>3150.0512761216182</c:v>
                </c:pt>
                <c:pt idx="91">
                  <c:v>7791.4025448705543</c:v>
                </c:pt>
                <c:pt idx="92">
                  <c:v>5000.1544495691414</c:v>
                </c:pt>
                <c:pt idx="93">
                  <c:v>1495.7401503970559</c:v>
                </c:pt>
                <c:pt idx="94">
                  <c:v>641.77134377316304</c:v>
                </c:pt>
                <c:pt idx="95">
                  <c:v>5.2869030111927504</c:v>
                </c:pt>
                <c:pt idx="96">
                  <c:v>725.000024338</c:v>
                </c:pt>
                <c:pt idx="97">
                  <c:v>1115.3746326721505</c:v>
                </c:pt>
                <c:pt idx="98">
                  <c:v>2858.6106719176246</c:v>
                </c:pt>
                <c:pt idx="99">
                  <c:v>334.48860699736724</c:v>
                </c:pt>
                <c:pt idx="100">
                  <c:v>2043.8916366707579</c:v>
                </c:pt>
              </c:numCache>
            </c:numRef>
          </c:yVal>
          <c:smooth val="0"/>
        </c:ser>
        <c:dLbls>
          <c:showLegendKey val="0"/>
          <c:showVal val="0"/>
          <c:showCatName val="0"/>
          <c:showSerName val="0"/>
          <c:showPercent val="0"/>
          <c:showBubbleSize val="0"/>
        </c:dLbls>
        <c:axId val="99033472"/>
        <c:axId val="99035392"/>
      </c:scatterChart>
      <c:valAx>
        <c:axId val="99033472"/>
        <c:scaling>
          <c:orientation val="minMax"/>
          <c:max val="10000"/>
        </c:scaling>
        <c:delete val="0"/>
        <c:axPos val="b"/>
        <c:title>
          <c:tx>
            <c:rich>
              <a:bodyPr/>
              <a:lstStyle/>
              <a:p>
                <a:pPr>
                  <a:defRPr sz="1000"/>
                </a:pPr>
                <a:r>
                  <a:rPr lang="en-US" sz="1000" b="1" i="0" baseline="0"/>
                  <a:t>Growth per decade 2010 - 2040</a:t>
                </a:r>
              </a:p>
            </c:rich>
          </c:tx>
          <c:overlay val="0"/>
        </c:title>
        <c:numFmt formatCode="General" sourceLinked="1"/>
        <c:majorTickMark val="out"/>
        <c:minorTickMark val="none"/>
        <c:tickLblPos val="nextTo"/>
        <c:crossAx val="99035392"/>
        <c:crosses val="autoZero"/>
        <c:crossBetween val="midCat"/>
      </c:valAx>
      <c:valAx>
        <c:axId val="99035392"/>
        <c:scaling>
          <c:orientation val="minMax"/>
          <c:max val="10000"/>
        </c:scaling>
        <c:delete val="0"/>
        <c:axPos val="l"/>
        <c:title>
          <c:tx>
            <c:rich>
              <a:bodyPr rot="-5400000" vert="horz"/>
              <a:lstStyle/>
              <a:p>
                <a:pPr>
                  <a:defRPr/>
                </a:pPr>
                <a:r>
                  <a:rPr lang="en-US"/>
                  <a:t>Growth per decade 1990 - 2010</a:t>
                </a:r>
              </a:p>
            </c:rich>
          </c:tx>
          <c:overlay val="0"/>
        </c:title>
        <c:numFmt formatCode="General" sourceLinked="1"/>
        <c:majorTickMark val="out"/>
        <c:minorTickMark val="none"/>
        <c:tickLblPos val="nextTo"/>
        <c:crossAx val="99033472"/>
        <c:crosses val="autoZero"/>
        <c:crossBetween val="midCat"/>
        <c:majorUnit val="1000"/>
      </c:valAx>
      <c:spPr>
        <a:ln>
          <a:solidFill>
            <a:schemeClr val="bg1">
              <a:lumMod val="65000"/>
            </a:schemeClr>
          </a:solidFill>
        </a:ln>
      </c:spPr>
    </c:plotArea>
    <c:legend>
      <c:legendPos val="r"/>
      <c:legendEntry>
        <c:idx val="1"/>
        <c:delete val="1"/>
      </c:legendEntry>
      <c:layout>
        <c:manualLayout>
          <c:xMode val="edge"/>
          <c:yMode val="edge"/>
          <c:x val="0.57330837774389565"/>
          <c:y val="0.61979440069991498"/>
          <c:w val="0.3109416388497524"/>
          <c:h val="8.3717191601050026E-2"/>
        </c:manualLayout>
      </c:layout>
      <c:overlay val="0"/>
    </c:legend>
    <c:plotVisOnly val="1"/>
    <c:dispBlanksAs val="gap"/>
    <c:showDLblsOverMax val="0"/>
  </c:chart>
  <c:spPr>
    <a:solidFill>
      <a:schemeClr val="bg1"/>
    </a:solid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2.310323709536314E-2"/>
                  <c:y val="-0.13579979585885096"/>
                </c:manualLayout>
              </c:layout>
              <c:numFmt formatCode="General" sourceLinked="0"/>
            </c:trendlineLbl>
          </c:trendline>
          <c:trendline>
            <c:trendlineType val="linear"/>
            <c:dispRSqr val="0"/>
            <c:dispEq val="0"/>
          </c:trendline>
          <c:xVal>
            <c:numRef>
              <c:f>lvi_twp!$G$2:$G$125</c:f>
              <c:numCache>
                <c:formatCode>#,##0</c:formatCode>
                <c:ptCount val="124"/>
                <c:pt idx="0">
                  <c:v>28.345553365000001</c:v>
                </c:pt>
                <c:pt idx="1">
                  <c:v>6.5693496140000072</c:v>
                </c:pt>
                <c:pt idx="2">
                  <c:v>17.539730445</c:v>
                </c:pt>
                <c:pt idx="3">
                  <c:v>5.5485312179999884</c:v>
                </c:pt>
                <c:pt idx="4">
                  <c:v>3.9856440289999999</c:v>
                </c:pt>
                <c:pt idx="5">
                  <c:v>14.661327386999998</c:v>
                </c:pt>
                <c:pt idx="6">
                  <c:v>3.287902324</c:v>
                </c:pt>
                <c:pt idx="7">
                  <c:v>12.722137590000004</c:v>
                </c:pt>
                <c:pt idx="8">
                  <c:v>5.297917266999983</c:v>
                </c:pt>
                <c:pt idx="9">
                  <c:v>38.186200807000006</c:v>
                </c:pt>
                <c:pt idx="10">
                  <c:v>18.137306346000027</c:v>
                </c:pt>
                <c:pt idx="11">
                  <c:v>51.904638633000005</c:v>
                </c:pt>
                <c:pt idx="12">
                  <c:v>29.384249060999966</c:v>
                </c:pt>
                <c:pt idx="13">
                  <c:v>50.716345166000011</c:v>
                </c:pt>
                <c:pt idx="14">
                  <c:v>46.540956813000008</c:v>
                </c:pt>
                <c:pt idx="15">
                  <c:v>32.64509383200005</c:v>
                </c:pt>
                <c:pt idx="16">
                  <c:v>11.637547933</c:v>
                </c:pt>
                <c:pt idx="17">
                  <c:v>6.1850231800000062</c:v>
                </c:pt>
                <c:pt idx="18">
                  <c:v>18.261969436000001</c:v>
                </c:pt>
                <c:pt idx="19">
                  <c:v>167.339953842</c:v>
                </c:pt>
                <c:pt idx="20">
                  <c:v>106.70812555500002</c:v>
                </c:pt>
                <c:pt idx="21">
                  <c:v>146.437095841</c:v>
                </c:pt>
                <c:pt idx="22">
                  <c:v>218.8637842669998</c:v>
                </c:pt>
                <c:pt idx="23">
                  <c:v>182.40213896600019</c:v>
                </c:pt>
                <c:pt idx="24">
                  <c:v>124.81509066699998</c:v>
                </c:pt>
                <c:pt idx="25">
                  <c:v>83.499435937999948</c:v>
                </c:pt>
                <c:pt idx="26">
                  <c:v>16.2033664</c:v>
                </c:pt>
                <c:pt idx="27">
                  <c:v>33.823609171999998</c:v>
                </c:pt>
                <c:pt idx="28">
                  <c:v>31.917366369000025</c:v>
                </c:pt>
                <c:pt idx="29">
                  <c:v>203.46675806099998</c:v>
                </c:pt>
                <c:pt idx="30">
                  <c:v>150.27299742700001</c:v>
                </c:pt>
                <c:pt idx="31">
                  <c:v>149.79026913999999</c:v>
                </c:pt>
                <c:pt idx="32">
                  <c:v>265.34328716400046</c:v>
                </c:pt>
                <c:pt idx="33">
                  <c:v>155.185302775</c:v>
                </c:pt>
                <c:pt idx="34">
                  <c:v>194.0544160570004</c:v>
                </c:pt>
                <c:pt idx="35">
                  <c:v>204.77499999999998</c:v>
                </c:pt>
                <c:pt idx="36">
                  <c:v>43.629297011000006</c:v>
                </c:pt>
                <c:pt idx="37">
                  <c:v>99.371015915999948</c:v>
                </c:pt>
                <c:pt idx="38">
                  <c:v>128.31632585200026</c:v>
                </c:pt>
                <c:pt idx="39">
                  <c:v>290.75880548799955</c:v>
                </c:pt>
                <c:pt idx="40">
                  <c:v>249.72185679399999</c:v>
                </c:pt>
                <c:pt idx="41">
                  <c:v>236.73120515099998</c:v>
                </c:pt>
                <c:pt idx="42">
                  <c:v>195.48258136500004</c:v>
                </c:pt>
                <c:pt idx="43">
                  <c:v>282.73611111099922</c:v>
                </c:pt>
                <c:pt idx="44">
                  <c:v>193.22516477499983</c:v>
                </c:pt>
                <c:pt idx="45">
                  <c:v>172.01289279399995</c:v>
                </c:pt>
                <c:pt idx="46">
                  <c:v>12.976483023000014</c:v>
                </c:pt>
                <c:pt idx="47">
                  <c:v>128.41397191399997</c:v>
                </c:pt>
                <c:pt idx="48">
                  <c:v>198.056053448</c:v>
                </c:pt>
                <c:pt idx="49">
                  <c:v>494.05244353400053</c:v>
                </c:pt>
                <c:pt idx="50">
                  <c:v>596.77857142800144</c:v>
                </c:pt>
                <c:pt idx="51">
                  <c:v>747.88028168999949</c:v>
                </c:pt>
                <c:pt idx="52">
                  <c:v>286.69986979099997</c:v>
                </c:pt>
                <c:pt idx="53">
                  <c:v>267.02836879399962</c:v>
                </c:pt>
                <c:pt idx="54">
                  <c:v>239.97744360900001</c:v>
                </c:pt>
                <c:pt idx="55">
                  <c:v>204.83333333300004</c:v>
                </c:pt>
                <c:pt idx="56">
                  <c:v>8.327289425</c:v>
                </c:pt>
                <c:pt idx="57">
                  <c:v>71.891771288000001</c:v>
                </c:pt>
                <c:pt idx="58">
                  <c:v>284.88089117199996</c:v>
                </c:pt>
                <c:pt idx="59">
                  <c:v>184.78132195900019</c:v>
                </c:pt>
                <c:pt idx="60">
                  <c:v>411.30555555499956</c:v>
                </c:pt>
                <c:pt idx="61">
                  <c:v>681.74829931900001</c:v>
                </c:pt>
                <c:pt idx="62">
                  <c:v>349.35416666599997</c:v>
                </c:pt>
                <c:pt idx="63">
                  <c:v>363.05517241300004</c:v>
                </c:pt>
                <c:pt idx="65">
                  <c:v>12.723847586</c:v>
                </c:pt>
                <c:pt idx="66">
                  <c:v>89.389605768999999</c:v>
                </c:pt>
                <c:pt idx="67">
                  <c:v>240.8978859170002</c:v>
                </c:pt>
                <c:pt idx="68">
                  <c:v>277.16917761399998</c:v>
                </c:pt>
                <c:pt idx="69">
                  <c:v>414.27272727199949</c:v>
                </c:pt>
                <c:pt idx="70">
                  <c:v>463.03238324099948</c:v>
                </c:pt>
                <c:pt idx="71">
                  <c:v>383.97808813799969</c:v>
                </c:pt>
                <c:pt idx="72">
                  <c:v>550.69230769199999</c:v>
                </c:pt>
                <c:pt idx="74">
                  <c:v>13.957031241000006</c:v>
                </c:pt>
                <c:pt idx="75">
                  <c:v>43.039998286000049</c:v>
                </c:pt>
                <c:pt idx="76">
                  <c:v>206.66118917400001</c:v>
                </c:pt>
                <c:pt idx="77">
                  <c:v>288.64862381800032</c:v>
                </c:pt>
                <c:pt idx="78">
                  <c:v>412.62686567099996</c:v>
                </c:pt>
                <c:pt idx="79">
                  <c:v>340.12135151499962</c:v>
                </c:pt>
                <c:pt idx="80">
                  <c:v>470.47107437999955</c:v>
                </c:pt>
                <c:pt idx="81">
                  <c:v>613.98373983700105</c:v>
                </c:pt>
                <c:pt idx="83">
                  <c:v>39.547835296000002</c:v>
                </c:pt>
                <c:pt idx="84">
                  <c:v>74.02027836500001</c:v>
                </c:pt>
                <c:pt idx="85">
                  <c:v>197.41494803800001</c:v>
                </c:pt>
                <c:pt idx="86">
                  <c:v>128.5393470880002</c:v>
                </c:pt>
                <c:pt idx="87">
                  <c:v>346.89510489499969</c:v>
                </c:pt>
                <c:pt idx="88">
                  <c:v>410.00684931500001</c:v>
                </c:pt>
                <c:pt idx="89">
                  <c:v>574.69503546000055</c:v>
                </c:pt>
                <c:pt idx="91">
                  <c:v>10.574913136999999</c:v>
                </c:pt>
                <c:pt idx="92">
                  <c:v>27.339381297999999</c:v>
                </c:pt>
                <c:pt idx="93">
                  <c:v>149.62044883900029</c:v>
                </c:pt>
                <c:pt idx="94">
                  <c:v>165.94113457700001</c:v>
                </c:pt>
                <c:pt idx="95">
                  <c:v>138.85206713900004</c:v>
                </c:pt>
                <c:pt idx="96">
                  <c:v>211.948405103</c:v>
                </c:pt>
                <c:pt idx="97">
                  <c:v>452.851309673</c:v>
                </c:pt>
                <c:pt idx="98">
                  <c:v>807.24369747799994</c:v>
                </c:pt>
                <c:pt idx="99">
                  <c:v>1270</c:v>
                </c:pt>
                <c:pt idx="100">
                  <c:v>18.410801550999999</c:v>
                </c:pt>
                <c:pt idx="101">
                  <c:v>17.644554261000025</c:v>
                </c:pt>
                <c:pt idx="102">
                  <c:v>64.185139820999808</c:v>
                </c:pt>
                <c:pt idx="103">
                  <c:v>85.756660327000006</c:v>
                </c:pt>
                <c:pt idx="104">
                  <c:v>118.62279680399978</c:v>
                </c:pt>
                <c:pt idx="105">
                  <c:v>147.66618959000002</c:v>
                </c:pt>
                <c:pt idx="106">
                  <c:v>413.60494104300045</c:v>
                </c:pt>
                <c:pt idx="107">
                  <c:v>604.71924573900003</c:v>
                </c:pt>
                <c:pt idx="108">
                  <c:v>10.550444817000031</c:v>
                </c:pt>
                <c:pt idx="109">
                  <c:v>9.0753230909999996</c:v>
                </c:pt>
                <c:pt idx="110">
                  <c:v>34.978153802000058</c:v>
                </c:pt>
                <c:pt idx="111">
                  <c:v>79.655029615999979</c:v>
                </c:pt>
                <c:pt idx="112">
                  <c:v>154.62114854700036</c:v>
                </c:pt>
                <c:pt idx="113">
                  <c:v>215.70008675700001</c:v>
                </c:pt>
                <c:pt idx="114">
                  <c:v>163.843717443</c:v>
                </c:pt>
                <c:pt idx="115">
                  <c:v>275.61614978599954</c:v>
                </c:pt>
                <c:pt idx="116">
                  <c:v>13.024568218000002</c:v>
                </c:pt>
                <c:pt idx="117">
                  <c:v>5.817937979999984</c:v>
                </c:pt>
                <c:pt idx="118">
                  <c:v>6.768528034</c:v>
                </c:pt>
                <c:pt idx="119">
                  <c:v>25.798193686999966</c:v>
                </c:pt>
                <c:pt idx="120">
                  <c:v>94.8032819109999</c:v>
                </c:pt>
                <c:pt idx="121">
                  <c:v>114.44589190800002</c:v>
                </c:pt>
                <c:pt idx="122">
                  <c:v>37.057757560999995</c:v>
                </c:pt>
                <c:pt idx="123">
                  <c:v>83.415739107999855</c:v>
                </c:pt>
              </c:numCache>
            </c:numRef>
          </c:xVal>
          <c:yVal>
            <c:numRef>
              <c:f>lvi_twp!$F$2:$F$125</c:f>
              <c:numCache>
                <c:formatCode>#,##0.00</c:formatCode>
                <c:ptCount val="124"/>
                <c:pt idx="0">
                  <c:v>0</c:v>
                </c:pt>
                <c:pt idx="1">
                  <c:v>0</c:v>
                </c:pt>
                <c:pt idx="2">
                  <c:v>2.6080829141146313E-2</c:v>
                </c:pt>
                <c:pt idx="3">
                  <c:v>1.5097401319008254E-2</c:v>
                </c:pt>
                <c:pt idx="4">
                  <c:v>1.1832728870604704E-3</c:v>
                </c:pt>
                <c:pt idx="5">
                  <c:v>3.2825044963296475E-2</c:v>
                </c:pt>
                <c:pt idx="6">
                  <c:v>4.7483155287499065E-2</c:v>
                </c:pt>
                <c:pt idx="7">
                  <c:v>6.640116541733089E-2</c:v>
                </c:pt>
                <c:pt idx="8">
                  <c:v>4.7469566900984481E-3</c:v>
                </c:pt>
                <c:pt idx="9">
                  <c:v>0.2520504413312174</c:v>
                </c:pt>
                <c:pt idx="10">
                  <c:v>0.13055739917517797</c:v>
                </c:pt>
                <c:pt idx="11">
                  <c:v>0.28704201126763318</c:v>
                </c:pt>
                <c:pt idx="12">
                  <c:v>0.1288457697460772</c:v>
                </c:pt>
                <c:pt idx="13">
                  <c:v>0.49714328868064217</c:v>
                </c:pt>
                <c:pt idx="14">
                  <c:v>0.36837059936579397</c:v>
                </c:pt>
                <c:pt idx="15">
                  <c:v>6.9076551488128531E-3</c:v>
                </c:pt>
                <c:pt idx="16">
                  <c:v>2.0204492043079812E-3</c:v>
                </c:pt>
                <c:pt idx="17">
                  <c:v>2.6716787380147182E-3</c:v>
                </c:pt>
                <c:pt idx="18">
                  <c:v>6.5936267820603254E-3</c:v>
                </c:pt>
                <c:pt idx="19">
                  <c:v>0.70422141370560565</c:v>
                </c:pt>
                <c:pt idx="20">
                  <c:v>0.19295648135047441</c:v>
                </c:pt>
                <c:pt idx="21">
                  <c:v>0.90340728192717157</c:v>
                </c:pt>
                <c:pt idx="22">
                  <c:v>1.4010604863214058</c:v>
                </c:pt>
                <c:pt idx="23">
                  <c:v>1.1333644739300499</c:v>
                </c:pt>
                <c:pt idx="24">
                  <c:v>0.37191953251798532</c:v>
                </c:pt>
                <c:pt idx="25">
                  <c:v>0.15919567491003464</c:v>
                </c:pt>
                <c:pt idx="26">
                  <c:v>1.0480654374993337E-2</c:v>
                </c:pt>
                <c:pt idx="27">
                  <c:v>4.4423261732820116E-2</c:v>
                </c:pt>
                <c:pt idx="28">
                  <c:v>2.9785721439298023E-2</c:v>
                </c:pt>
                <c:pt idx="29">
                  <c:v>0.99983620858256517</c:v>
                </c:pt>
                <c:pt idx="30">
                  <c:v>0.37836836841356175</c:v>
                </c:pt>
                <c:pt idx="31">
                  <c:v>0.99446789298144656</c:v>
                </c:pt>
                <c:pt idx="32">
                  <c:v>0.77604177028267463</c:v>
                </c:pt>
                <c:pt idx="33">
                  <c:v>1.1175675317242335</c:v>
                </c:pt>
                <c:pt idx="34">
                  <c:v>0.74115691877871404</c:v>
                </c:pt>
                <c:pt idx="35">
                  <c:v>0.58877110573336588</c:v>
                </c:pt>
                <c:pt idx="36">
                  <c:v>0.12304994379357889</c:v>
                </c:pt>
                <c:pt idx="37">
                  <c:v>0.50219350071034463</c:v>
                </c:pt>
                <c:pt idx="38">
                  <c:v>0.41073601574016833</c:v>
                </c:pt>
                <c:pt idx="39">
                  <c:v>1.5046540897503597</c:v>
                </c:pt>
                <c:pt idx="40">
                  <c:v>0.94896353899684249</c:v>
                </c:pt>
                <c:pt idx="41">
                  <c:v>0.7725212242605729</c:v>
                </c:pt>
                <c:pt idx="42">
                  <c:v>0.73033798357746549</c:v>
                </c:pt>
                <c:pt idx="43">
                  <c:v>1.2789678571200098</c:v>
                </c:pt>
                <c:pt idx="44">
                  <c:v>0.1920207374520729</c:v>
                </c:pt>
                <c:pt idx="45">
                  <c:v>5.7380365445301791E-2</c:v>
                </c:pt>
                <c:pt idx="46">
                  <c:v>1.1964084518631265E-2</c:v>
                </c:pt>
                <c:pt idx="47">
                  <c:v>0.45894473934264957</c:v>
                </c:pt>
                <c:pt idx="48">
                  <c:v>1.2903556156561651</c:v>
                </c:pt>
                <c:pt idx="49">
                  <c:v>1.0171026459560639</c:v>
                </c:pt>
                <c:pt idx="50">
                  <c:v>4.0393958769181735</c:v>
                </c:pt>
                <c:pt idx="51">
                  <c:v>7.9954441842996511</c:v>
                </c:pt>
                <c:pt idx="52">
                  <c:v>0.84790204618504861</c:v>
                </c:pt>
                <c:pt idx="53">
                  <c:v>6.5191862605589679E-2</c:v>
                </c:pt>
                <c:pt idx="54">
                  <c:v>7.7450271598981782E-2</c:v>
                </c:pt>
                <c:pt idx="55">
                  <c:v>0</c:v>
                </c:pt>
                <c:pt idx="56">
                  <c:v>1.330570957787325E-3</c:v>
                </c:pt>
                <c:pt idx="57">
                  <c:v>0.21219784210863074</c:v>
                </c:pt>
                <c:pt idx="58">
                  <c:v>0.90507417376076038</c:v>
                </c:pt>
                <c:pt idx="59">
                  <c:v>0.37416044081997607</c:v>
                </c:pt>
                <c:pt idx="60">
                  <c:v>2.9771896307435837</c:v>
                </c:pt>
                <c:pt idx="61">
                  <c:v>3.5609193288202992</c:v>
                </c:pt>
                <c:pt idx="62">
                  <c:v>6.0323388517850276</c:v>
                </c:pt>
                <c:pt idx="63">
                  <c:v>0.5351511490705475</c:v>
                </c:pt>
                <c:pt idx="65">
                  <c:v>9.2577782974325187E-2</c:v>
                </c:pt>
                <c:pt idx="66">
                  <c:v>0.34004896823844677</c:v>
                </c:pt>
                <c:pt idx="67">
                  <c:v>1.0557414756152377</c:v>
                </c:pt>
                <c:pt idx="68">
                  <c:v>0.57906932851084891</c:v>
                </c:pt>
                <c:pt idx="69">
                  <c:v>1.5940816320683675</c:v>
                </c:pt>
                <c:pt idx="70">
                  <c:v>1.6961094555466441</c:v>
                </c:pt>
                <c:pt idx="71">
                  <c:v>1.6849532186262861</c:v>
                </c:pt>
                <c:pt idx="72">
                  <c:v>5.8418556971379862</c:v>
                </c:pt>
                <c:pt idx="74">
                  <c:v>8.3409435488548692E-2</c:v>
                </c:pt>
                <c:pt idx="75">
                  <c:v>0.42823428469672026</c:v>
                </c:pt>
                <c:pt idx="76">
                  <c:v>1.0506281780804756</c:v>
                </c:pt>
                <c:pt idx="77">
                  <c:v>0.65849944348152789</c:v>
                </c:pt>
                <c:pt idx="78">
                  <c:v>1.11194630405073</c:v>
                </c:pt>
                <c:pt idx="79">
                  <c:v>1.5578599836251472</c:v>
                </c:pt>
                <c:pt idx="80">
                  <c:v>11.019546929442678</c:v>
                </c:pt>
                <c:pt idx="81">
                  <c:v>12.050836189922871</c:v>
                </c:pt>
                <c:pt idx="83">
                  <c:v>7.423086954529938E-2</c:v>
                </c:pt>
                <c:pt idx="84">
                  <c:v>0.73371116343794351</c:v>
                </c:pt>
                <c:pt idx="85">
                  <c:v>0.59449305549935849</c:v>
                </c:pt>
                <c:pt idx="86">
                  <c:v>0.55365614317354161</c:v>
                </c:pt>
                <c:pt idx="87">
                  <c:v>2.0455345005613861</c:v>
                </c:pt>
                <c:pt idx="88">
                  <c:v>2.6707379455332982</c:v>
                </c:pt>
                <c:pt idx="89">
                  <c:v>2.500427281446497</c:v>
                </c:pt>
                <c:pt idx="91">
                  <c:v>3.7095747035154759E-2</c:v>
                </c:pt>
                <c:pt idx="92">
                  <c:v>0.10552758340983925</c:v>
                </c:pt>
                <c:pt idx="93">
                  <c:v>0.80698912102593456</c:v>
                </c:pt>
                <c:pt idx="94">
                  <c:v>0.67150966864738348</c:v>
                </c:pt>
                <c:pt idx="95">
                  <c:v>0.62820420021125023</c:v>
                </c:pt>
                <c:pt idx="96">
                  <c:v>0.47962221963662388</c:v>
                </c:pt>
                <c:pt idx="97">
                  <c:v>1.2573163959274036</c:v>
                </c:pt>
                <c:pt idx="98">
                  <c:v>6.9004883130103414</c:v>
                </c:pt>
                <c:pt idx="99">
                  <c:v>9.2201583795689626</c:v>
                </c:pt>
                <c:pt idx="100">
                  <c:v>2.7930529719586254E-2</c:v>
                </c:pt>
                <c:pt idx="101">
                  <c:v>8.3036366084721328E-2</c:v>
                </c:pt>
                <c:pt idx="102">
                  <c:v>0.22736656255471568</c:v>
                </c:pt>
                <c:pt idx="103">
                  <c:v>0.71312786385838756</c:v>
                </c:pt>
                <c:pt idx="104">
                  <c:v>0.37658673744196863</c:v>
                </c:pt>
                <c:pt idx="105">
                  <c:v>0.2367962125033288</c:v>
                </c:pt>
                <c:pt idx="106">
                  <c:v>0.51959172484469551</c:v>
                </c:pt>
                <c:pt idx="107">
                  <c:v>0.59861610554827449</c:v>
                </c:pt>
                <c:pt idx="108">
                  <c:v>4.639386409409027E-2</c:v>
                </c:pt>
                <c:pt idx="109">
                  <c:v>1.5234168117890311E-2</c:v>
                </c:pt>
                <c:pt idx="110">
                  <c:v>0.23507315773402171</c:v>
                </c:pt>
                <c:pt idx="111">
                  <c:v>0.75083303242407418</c:v>
                </c:pt>
                <c:pt idx="112">
                  <c:v>0.67380436452494763</c:v>
                </c:pt>
                <c:pt idx="113">
                  <c:v>0.70671169179758564</c:v>
                </c:pt>
                <c:pt idx="114">
                  <c:v>0.37527758748035567</c:v>
                </c:pt>
                <c:pt idx="115">
                  <c:v>0.44083719676913175</c:v>
                </c:pt>
                <c:pt idx="116">
                  <c:v>4.1915589170700887E-2</c:v>
                </c:pt>
                <c:pt idx="117">
                  <c:v>2.4488488171740909E-2</c:v>
                </c:pt>
                <c:pt idx="118">
                  <c:v>2.9558871464932576E-2</c:v>
                </c:pt>
                <c:pt idx="119">
                  <c:v>0.31955888351657885</c:v>
                </c:pt>
                <c:pt idx="120">
                  <c:v>0.52083079062829063</c:v>
                </c:pt>
                <c:pt idx="121">
                  <c:v>0.46928286296992777</c:v>
                </c:pt>
                <c:pt idx="122">
                  <c:v>0.16534626325609988</c:v>
                </c:pt>
                <c:pt idx="123">
                  <c:v>0.8052284710810359</c:v>
                </c:pt>
              </c:numCache>
            </c:numRef>
          </c:yVal>
          <c:smooth val="0"/>
        </c:ser>
        <c:dLbls>
          <c:showLegendKey val="0"/>
          <c:showVal val="0"/>
          <c:showCatName val="0"/>
          <c:showSerName val="0"/>
          <c:showPercent val="0"/>
          <c:showBubbleSize val="0"/>
        </c:dLbls>
        <c:axId val="99078912"/>
        <c:axId val="99080832"/>
      </c:scatterChart>
      <c:valAx>
        <c:axId val="99078912"/>
        <c:scaling>
          <c:orientation val="minMax"/>
        </c:scaling>
        <c:delete val="0"/>
        <c:axPos val="b"/>
        <c:title>
          <c:tx>
            <c:rich>
              <a:bodyPr/>
              <a:lstStyle/>
              <a:p>
                <a:pPr>
                  <a:defRPr/>
                </a:pPr>
                <a:r>
                  <a:rPr lang="en-US"/>
                  <a:t>Average land value per acre ($1,000s)</a:t>
                </a:r>
              </a:p>
            </c:rich>
          </c:tx>
          <c:overlay val="0"/>
        </c:title>
        <c:numFmt formatCode="#,##0" sourceLinked="0"/>
        <c:majorTickMark val="out"/>
        <c:minorTickMark val="none"/>
        <c:tickLblPos val="nextTo"/>
        <c:crossAx val="99080832"/>
        <c:crosses val="autoZero"/>
        <c:crossBetween val="midCat"/>
      </c:valAx>
      <c:valAx>
        <c:axId val="99080832"/>
        <c:scaling>
          <c:orientation val="minMax"/>
          <c:min val="0"/>
        </c:scaling>
        <c:delete val="0"/>
        <c:axPos val="l"/>
        <c:title>
          <c:tx>
            <c:rich>
              <a:bodyPr rot="-5400000" vert="horz"/>
              <a:lstStyle/>
              <a:p>
                <a:pPr>
                  <a:defRPr/>
                </a:pPr>
                <a:r>
                  <a:rPr lang="en-US"/>
                  <a:t>Ratio of land needed</a:t>
                </a:r>
                <a:r>
                  <a:rPr lang="en-US" baseline="0"/>
                  <a:t> to available vacant land</a:t>
                </a:r>
                <a:endParaRPr lang="en-US"/>
              </a:p>
            </c:rich>
          </c:tx>
          <c:overlay val="0"/>
        </c:title>
        <c:numFmt formatCode="#,##0.00" sourceLinked="1"/>
        <c:majorTickMark val="out"/>
        <c:minorTickMark val="none"/>
        <c:tickLblPos val="nextTo"/>
        <c:crossAx val="99078912"/>
        <c:crosses val="autoZero"/>
        <c:crossBetween val="midCat"/>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6.9748250218722704E-2"/>
                  <c:y val="-0.16937664041994752"/>
                </c:manualLayout>
              </c:layout>
              <c:numFmt formatCode="General" sourceLinked="0"/>
            </c:trendlineLbl>
          </c:trendline>
          <c:xVal>
            <c:numRef>
              <c:f>lvi_twp!$G$2:$G$125</c:f>
              <c:numCache>
                <c:formatCode>#,##0</c:formatCode>
                <c:ptCount val="124"/>
                <c:pt idx="0">
                  <c:v>28.345553365000001</c:v>
                </c:pt>
                <c:pt idx="1">
                  <c:v>6.5693496140000072</c:v>
                </c:pt>
                <c:pt idx="2">
                  <c:v>17.539730445</c:v>
                </c:pt>
                <c:pt idx="3">
                  <c:v>5.5485312179999884</c:v>
                </c:pt>
                <c:pt idx="4">
                  <c:v>3.9856440289999999</c:v>
                </c:pt>
                <c:pt idx="5">
                  <c:v>14.661327386999998</c:v>
                </c:pt>
                <c:pt idx="6">
                  <c:v>3.287902324</c:v>
                </c:pt>
                <c:pt idx="7">
                  <c:v>12.722137590000004</c:v>
                </c:pt>
                <c:pt idx="8">
                  <c:v>5.297917266999983</c:v>
                </c:pt>
                <c:pt idx="9">
                  <c:v>38.186200807000006</c:v>
                </c:pt>
                <c:pt idx="10">
                  <c:v>18.137306346000027</c:v>
                </c:pt>
                <c:pt idx="11">
                  <c:v>51.904638633000005</c:v>
                </c:pt>
                <c:pt idx="12">
                  <c:v>29.384249060999966</c:v>
                </c:pt>
                <c:pt idx="13">
                  <c:v>50.716345166000011</c:v>
                </c:pt>
                <c:pt idx="14">
                  <c:v>46.540956813000008</c:v>
                </c:pt>
                <c:pt idx="15">
                  <c:v>32.64509383200005</c:v>
                </c:pt>
                <c:pt idx="16">
                  <c:v>11.637547933</c:v>
                </c:pt>
                <c:pt idx="17">
                  <c:v>6.1850231800000062</c:v>
                </c:pt>
                <c:pt idx="18">
                  <c:v>18.261969436000001</c:v>
                </c:pt>
                <c:pt idx="19">
                  <c:v>167.339953842</c:v>
                </c:pt>
                <c:pt idx="20">
                  <c:v>106.70812555500002</c:v>
                </c:pt>
                <c:pt idx="21">
                  <c:v>146.437095841</c:v>
                </c:pt>
                <c:pt idx="22">
                  <c:v>218.8637842669998</c:v>
                </c:pt>
                <c:pt idx="23">
                  <c:v>182.40213896600019</c:v>
                </c:pt>
                <c:pt idx="24">
                  <c:v>124.81509066699998</c:v>
                </c:pt>
                <c:pt idx="25">
                  <c:v>83.499435937999948</c:v>
                </c:pt>
                <c:pt idx="26">
                  <c:v>16.2033664</c:v>
                </c:pt>
                <c:pt idx="27">
                  <c:v>33.823609171999998</c:v>
                </c:pt>
                <c:pt idx="28">
                  <c:v>31.917366369000025</c:v>
                </c:pt>
                <c:pt idx="29">
                  <c:v>203.46675806099998</c:v>
                </c:pt>
                <c:pt idx="30">
                  <c:v>150.27299742700001</c:v>
                </c:pt>
                <c:pt idx="31">
                  <c:v>149.79026913999999</c:v>
                </c:pt>
                <c:pt idx="32">
                  <c:v>265.34328716400046</c:v>
                </c:pt>
                <c:pt idx="33">
                  <c:v>155.185302775</c:v>
                </c:pt>
                <c:pt idx="34">
                  <c:v>194.0544160570004</c:v>
                </c:pt>
                <c:pt idx="35">
                  <c:v>204.77499999999998</c:v>
                </c:pt>
                <c:pt idx="36">
                  <c:v>43.629297011000006</c:v>
                </c:pt>
                <c:pt idx="37">
                  <c:v>99.371015915999948</c:v>
                </c:pt>
                <c:pt idx="38">
                  <c:v>128.31632585200026</c:v>
                </c:pt>
                <c:pt idx="39">
                  <c:v>290.75880548799955</c:v>
                </c:pt>
                <c:pt idx="40">
                  <c:v>249.72185679399999</c:v>
                </c:pt>
                <c:pt idx="41">
                  <c:v>236.73120515099998</c:v>
                </c:pt>
                <c:pt idx="42">
                  <c:v>195.48258136500004</c:v>
                </c:pt>
                <c:pt idx="43">
                  <c:v>282.73611111099922</c:v>
                </c:pt>
                <c:pt idx="44">
                  <c:v>193.22516477499983</c:v>
                </c:pt>
                <c:pt idx="45">
                  <c:v>172.01289279399995</c:v>
                </c:pt>
                <c:pt idx="46">
                  <c:v>12.976483023000014</c:v>
                </c:pt>
                <c:pt idx="47">
                  <c:v>128.41397191399997</c:v>
                </c:pt>
                <c:pt idx="48">
                  <c:v>198.056053448</c:v>
                </c:pt>
                <c:pt idx="49">
                  <c:v>494.05244353400053</c:v>
                </c:pt>
                <c:pt idx="50">
                  <c:v>596.77857142800144</c:v>
                </c:pt>
                <c:pt idx="51">
                  <c:v>747.88028168999949</c:v>
                </c:pt>
                <c:pt idx="52">
                  <c:v>286.69986979099997</c:v>
                </c:pt>
                <c:pt idx="53">
                  <c:v>267.02836879399962</c:v>
                </c:pt>
                <c:pt idx="54">
                  <c:v>239.97744360900001</c:v>
                </c:pt>
                <c:pt idx="55">
                  <c:v>204.83333333300004</c:v>
                </c:pt>
                <c:pt idx="56">
                  <c:v>8.327289425</c:v>
                </c:pt>
                <c:pt idx="57">
                  <c:v>71.891771288000001</c:v>
                </c:pt>
                <c:pt idx="58">
                  <c:v>284.88089117199996</c:v>
                </c:pt>
                <c:pt idx="59">
                  <c:v>184.78132195900019</c:v>
                </c:pt>
                <c:pt idx="60">
                  <c:v>411.30555555499956</c:v>
                </c:pt>
                <c:pt idx="61">
                  <c:v>681.74829931900001</c:v>
                </c:pt>
                <c:pt idx="62">
                  <c:v>349.35416666599997</c:v>
                </c:pt>
                <c:pt idx="63">
                  <c:v>363.05517241300004</c:v>
                </c:pt>
                <c:pt idx="65">
                  <c:v>12.723847586</c:v>
                </c:pt>
                <c:pt idx="66">
                  <c:v>89.389605768999999</c:v>
                </c:pt>
                <c:pt idx="67">
                  <c:v>240.8978859170002</c:v>
                </c:pt>
                <c:pt idx="68">
                  <c:v>277.16917761399998</c:v>
                </c:pt>
                <c:pt idx="69">
                  <c:v>414.27272727199949</c:v>
                </c:pt>
                <c:pt idx="70">
                  <c:v>463.03238324099948</c:v>
                </c:pt>
                <c:pt idx="71">
                  <c:v>383.97808813799969</c:v>
                </c:pt>
                <c:pt idx="72">
                  <c:v>550.69230769199999</c:v>
                </c:pt>
                <c:pt idx="74">
                  <c:v>13.957031241000006</c:v>
                </c:pt>
                <c:pt idx="75">
                  <c:v>43.039998286000049</c:v>
                </c:pt>
                <c:pt idx="76">
                  <c:v>206.66118917400001</c:v>
                </c:pt>
                <c:pt idx="77">
                  <c:v>288.64862381800032</c:v>
                </c:pt>
                <c:pt idx="78">
                  <c:v>412.62686567099996</c:v>
                </c:pt>
                <c:pt idx="79">
                  <c:v>340.12135151499962</c:v>
                </c:pt>
                <c:pt idx="80">
                  <c:v>470.47107437999955</c:v>
                </c:pt>
                <c:pt idx="81">
                  <c:v>613.98373983700105</c:v>
                </c:pt>
                <c:pt idx="83">
                  <c:v>39.547835296000002</c:v>
                </c:pt>
                <c:pt idx="84">
                  <c:v>74.02027836500001</c:v>
                </c:pt>
                <c:pt idx="85">
                  <c:v>197.41494803800001</c:v>
                </c:pt>
                <c:pt idx="86">
                  <c:v>128.5393470880002</c:v>
                </c:pt>
                <c:pt idx="87">
                  <c:v>346.89510489499969</c:v>
                </c:pt>
                <c:pt idx="88">
                  <c:v>410.00684931500001</c:v>
                </c:pt>
                <c:pt idx="89">
                  <c:v>574.69503546000055</c:v>
                </c:pt>
                <c:pt idx="91">
                  <c:v>10.574913136999999</c:v>
                </c:pt>
                <c:pt idx="92">
                  <c:v>27.339381297999999</c:v>
                </c:pt>
                <c:pt idx="93">
                  <c:v>149.62044883900029</c:v>
                </c:pt>
                <c:pt idx="94">
                  <c:v>165.94113457700001</c:v>
                </c:pt>
                <c:pt idx="95">
                  <c:v>138.85206713900004</c:v>
                </c:pt>
                <c:pt idx="96">
                  <c:v>211.948405103</c:v>
                </c:pt>
                <c:pt idx="97">
                  <c:v>452.851309673</c:v>
                </c:pt>
                <c:pt idx="98">
                  <c:v>807.24369747799994</c:v>
                </c:pt>
                <c:pt idx="99">
                  <c:v>1270</c:v>
                </c:pt>
                <c:pt idx="100">
                  <c:v>18.410801550999999</c:v>
                </c:pt>
                <c:pt idx="101">
                  <c:v>17.644554261000025</c:v>
                </c:pt>
                <c:pt idx="102">
                  <c:v>64.185139820999808</c:v>
                </c:pt>
                <c:pt idx="103">
                  <c:v>85.756660327000006</c:v>
                </c:pt>
                <c:pt idx="104">
                  <c:v>118.62279680399978</c:v>
                </c:pt>
                <c:pt idx="105">
                  <c:v>147.66618959000002</c:v>
                </c:pt>
                <c:pt idx="106">
                  <c:v>413.60494104300045</c:v>
                </c:pt>
                <c:pt idx="107">
                  <c:v>604.71924573900003</c:v>
                </c:pt>
                <c:pt idx="108">
                  <c:v>10.550444817000031</c:v>
                </c:pt>
                <c:pt idx="109">
                  <c:v>9.0753230909999996</c:v>
                </c:pt>
                <c:pt idx="110">
                  <c:v>34.978153802000058</c:v>
                </c:pt>
                <c:pt idx="111">
                  <c:v>79.655029615999979</c:v>
                </c:pt>
                <c:pt idx="112">
                  <c:v>154.62114854700036</c:v>
                </c:pt>
                <c:pt idx="113">
                  <c:v>215.70008675700001</c:v>
                </c:pt>
                <c:pt idx="114">
                  <c:v>163.843717443</c:v>
                </c:pt>
                <c:pt idx="115">
                  <c:v>275.61614978599954</c:v>
                </c:pt>
                <c:pt idx="116">
                  <c:v>13.024568218000002</c:v>
                </c:pt>
                <c:pt idx="117">
                  <c:v>5.817937979999984</c:v>
                </c:pt>
                <c:pt idx="118">
                  <c:v>6.768528034</c:v>
                </c:pt>
                <c:pt idx="119">
                  <c:v>25.798193686999966</c:v>
                </c:pt>
                <c:pt idx="120">
                  <c:v>94.8032819109999</c:v>
                </c:pt>
                <c:pt idx="121">
                  <c:v>114.44589190800002</c:v>
                </c:pt>
                <c:pt idx="122">
                  <c:v>37.057757560999995</c:v>
                </c:pt>
                <c:pt idx="123">
                  <c:v>83.415739107999855</c:v>
                </c:pt>
              </c:numCache>
            </c:numRef>
          </c:xVal>
          <c:yVal>
            <c:numRef>
              <c:f>lvi_twp!$B$2:$B$125</c:f>
              <c:numCache>
                <c:formatCode>#,##0</c:formatCode>
                <c:ptCount val="124"/>
                <c:pt idx="0">
                  <c:v>157.89344609593272</c:v>
                </c:pt>
                <c:pt idx="1">
                  <c:v>12.686023937933292</c:v>
                </c:pt>
                <c:pt idx="2">
                  <c:v>200.99780502243362</c:v>
                </c:pt>
                <c:pt idx="3">
                  <c:v>27.448337730399924</c:v>
                </c:pt>
                <c:pt idx="4">
                  <c:v>9.7572606896667509</c:v>
                </c:pt>
                <c:pt idx="5">
                  <c:v>412.63873254916695</c:v>
                </c:pt>
                <c:pt idx="6">
                  <c:v>213.09915703159999</c:v>
                </c:pt>
                <c:pt idx="7">
                  <c:v>612.04139771963321</c:v>
                </c:pt>
                <c:pt idx="8">
                  <c:v>2.0858227340333193</c:v>
                </c:pt>
                <c:pt idx="9">
                  <c:v>1164.9927445351657</c:v>
                </c:pt>
                <c:pt idx="10">
                  <c:v>852.97493437156754</c:v>
                </c:pt>
                <c:pt idx="11">
                  <c:v>2610.0202877951297</c:v>
                </c:pt>
                <c:pt idx="12">
                  <c:v>257.21871325799873</c:v>
                </c:pt>
                <c:pt idx="13">
                  <c:v>4449.2111188753024</c:v>
                </c:pt>
                <c:pt idx="14">
                  <c:v>2725.4333193602752</c:v>
                </c:pt>
                <c:pt idx="15">
                  <c:v>10.501116153733278</c:v>
                </c:pt>
                <c:pt idx="16">
                  <c:v>23.785566745399976</c:v>
                </c:pt>
                <c:pt idx="17">
                  <c:v>19.055144547200026</c:v>
                </c:pt>
                <c:pt idx="18">
                  <c:v>52.983247186366576</c:v>
                </c:pt>
                <c:pt idx="19">
                  <c:v>5417.9359392703309</c:v>
                </c:pt>
                <c:pt idx="20">
                  <c:v>3006.524593731267</c:v>
                </c:pt>
                <c:pt idx="21">
                  <c:v>4331.9518180678324</c:v>
                </c:pt>
                <c:pt idx="22">
                  <c:v>5196.7066225794715</c:v>
                </c:pt>
                <c:pt idx="23">
                  <c:v>6904.9842332941298</c:v>
                </c:pt>
                <c:pt idx="24">
                  <c:v>2739.864140099402</c:v>
                </c:pt>
                <c:pt idx="25">
                  <c:v>392.03586690830065</c:v>
                </c:pt>
                <c:pt idx="26">
                  <c:v>37.514309628066599</c:v>
                </c:pt>
                <c:pt idx="27">
                  <c:v>327.21718382470038</c:v>
                </c:pt>
                <c:pt idx="28">
                  <c:v>285.91800417579969</c:v>
                </c:pt>
                <c:pt idx="29">
                  <c:v>5584.862228680784</c:v>
                </c:pt>
                <c:pt idx="30">
                  <c:v>3992.0569947525892</c:v>
                </c:pt>
                <c:pt idx="31">
                  <c:v>3730.2886861178299</c:v>
                </c:pt>
                <c:pt idx="32">
                  <c:v>3107.9492060057332</c:v>
                </c:pt>
                <c:pt idx="33">
                  <c:v>3297.6528211766504</c:v>
                </c:pt>
                <c:pt idx="34">
                  <c:v>3082.1663101665981</c:v>
                </c:pt>
                <c:pt idx="35">
                  <c:v>944.17911356233492</c:v>
                </c:pt>
                <c:pt idx="36">
                  <c:v>1505.1763778133309</c:v>
                </c:pt>
                <c:pt idx="37">
                  <c:v>2829.6859980435001</c:v>
                </c:pt>
                <c:pt idx="38">
                  <c:v>3878.279680288068</c:v>
                </c:pt>
                <c:pt idx="39">
                  <c:v>6821.9345222713309</c:v>
                </c:pt>
                <c:pt idx="40">
                  <c:v>4524.5197730238024</c:v>
                </c:pt>
                <c:pt idx="41">
                  <c:v>1507.1862452046978</c:v>
                </c:pt>
                <c:pt idx="42">
                  <c:v>1074.4474291784306</c:v>
                </c:pt>
                <c:pt idx="43">
                  <c:v>2502.2850529474722</c:v>
                </c:pt>
                <c:pt idx="44">
                  <c:v>2792.3294415111354</c:v>
                </c:pt>
                <c:pt idx="45">
                  <c:v>696.94852190243319</c:v>
                </c:pt>
                <c:pt idx="46">
                  <c:v>73.754982451699888</c:v>
                </c:pt>
                <c:pt idx="47">
                  <c:v>3925.6371385690718</c:v>
                </c:pt>
                <c:pt idx="48">
                  <c:v>6403.5617762927213</c:v>
                </c:pt>
                <c:pt idx="49">
                  <c:v>3834.9822940087197</c:v>
                </c:pt>
                <c:pt idx="50">
                  <c:v>4390.8335335197344</c:v>
                </c:pt>
                <c:pt idx="51">
                  <c:v>4892.3960782563354</c:v>
                </c:pt>
                <c:pt idx="52">
                  <c:v>2393.1347909097044</c:v>
                </c:pt>
                <c:pt idx="53">
                  <c:v>1517.6240516114194</c:v>
                </c:pt>
                <c:pt idx="54">
                  <c:v>6979.1110500553523</c:v>
                </c:pt>
                <c:pt idx="55">
                  <c:v>414.91332416399899</c:v>
                </c:pt>
                <c:pt idx="56">
                  <c:v>14.182497106266677</c:v>
                </c:pt>
                <c:pt idx="57">
                  <c:v>979.22350497876755</c:v>
                </c:pt>
                <c:pt idx="58">
                  <c:v>2698.4514715909072</c:v>
                </c:pt>
                <c:pt idx="59">
                  <c:v>855.66253604480096</c:v>
                </c:pt>
                <c:pt idx="60">
                  <c:v>1928.9930991359358</c:v>
                </c:pt>
                <c:pt idx="61">
                  <c:v>3320.1950394287587</c:v>
                </c:pt>
                <c:pt idx="62">
                  <c:v>2775.4703664818062</c:v>
                </c:pt>
                <c:pt idx="63">
                  <c:v>6654.2220155720233</c:v>
                </c:pt>
                <c:pt idx="64">
                  <c:v>13593.895842590166</c:v>
                </c:pt>
                <c:pt idx="65">
                  <c:v>337.76447331943388</c:v>
                </c:pt>
                <c:pt idx="66">
                  <c:v>761.84621196373246</c:v>
                </c:pt>
                <c:pt idx="67">
                  <c:v>1857.4626216400711</c:v>
                </c:pt>
                <c:pt idx="68">
                  <c:v>1298.7847020882643</c:v>
                </c:pt>
                <c:pt idx="69">
                  <c:v>2451.3977713171626</c:v>
                </c:pt>
                <c:pt idx="70">
                  <c:v>2316.9032394545002</c:v>
                </c:pt>
                <c:pt idx="71">
                  <c:v>2557.0051884040367</c:v>
                </c:pt>
                <c:pt idx="72">
                  <c:v>7160.0020246301792</c:v>
                </c:pt>
                <c:pt idx="73">
                  <c:v>12392.568884668372</c:v>
                </c:pt>
                <c:pt idx="74">
                  <c:v>357.84267800186723</c:v>
                </c:pt>
                <c:pt idx="75">
                  <c:v>1282.2837058572334</c:v>
                </c:pt>
                <c:pt idx="76">
                  <c:v>4175.8297954971304</c:v>
                </c:pt>
                <c:pt idx="77">
                  <c:v>2148.7014099158687</c:v>
                </c:pt>
                <c:pt idx="78">
                  <c:v>2316.2086536099637</c:v>
                </c:pt>
                <c:pt idx="79">
                  <c:v>1803.7914569599398</c:v>
                </c:pt>
                <c:pt idx="80">
                  <c:v>2871.4055420157342</c:v>
                </c:pt>
                <c:pt idx="81">
                  <c:v>3680.7301750893612</c:v>
                </c:pt>
                <c:pt idx="82">
                  <c:v>2213.8973418978662</c:v>
                </c:pt>
                <c:pt idx="83">
                  <c:v>704.27823901290003</c:v>
                </c:pt>
                <c:pt idx="84">
                  <c:v>4867.6408648234756</c:v>
                </c:pt>
                <c:pt idx="85">
                  <c:v>3140.3564599812066</c:v>
                </c:pt>
                <c:pt idx="86">
                  <c:v>591.50944459126754</c:v>
                </c:pt>
                <c:pt idx="87">
                  <c:v>1905.679887249069</c:v>
                </c:pt>
                <c:pt idx="88">
                  <c:v>2907.8834483293467</c:v>
                </c:pt>
                <c:pt idx="89">
                  <c:v>2492.0091580733706</c:v>
                </c:pt>
                <c:pt idx="90">
                  <c:v>2545.4414322555381</c:v>
                </c:pt>
                <c:pt idx="91">
                  <c:v>136.78483018903341</c:v>
                </c:pt>
                <c:pt idx="92">
                  <c:v>276.51190852599944</c:v>
                </c:pt>
                <c:pt idx="93">
                  <c:v>5931.7359888437295</c:v>
                </c:pt>
                <c:pt idx="94">
                  <c:v>2522.0991482277068</c:v>
                </c:pt>
                <c:pt idx="95">
                  <c:v>582.56411191843347</c:v>
                </c:pt>
                <c:pt idx="96">
                  <c:v>893.99562660180288</c:v>
                </c:pt>
                <c:pt idx="97">
                  <c:v>2414.5842553342318</c:v>
                </c:pt>
                <c:pt idx="98">
                  <c:v>3261.8576138400367</c:v>
                </c:pt>
                <c:pt idx="99">
                  <c:v>72.664503096666678</c:v>
                </c:pt>
                <c:pt idx="100">
                  <c:v>263.89542048963312</c:v>
                </c:pt>
                <c:pt idx="101">
                  <c:v>189.91128939956653</c:v>
                </c:pt>
                <c:pt idx="102">
                  <c:v>1219.0395081133302</c:v>
                </c:pt>
                <c:pt idx="103">
                  <c:v>2615.0919354750672</c:v>
                </c:pt>
                <c:pt idx="104">
                  <c:v>1761.0546253412331</c:v>
                </c:pt>
                <c:pt idx="105">
                  <c:v>1195.7223479360978</c:v>
                </c:pt>
                <c:pt idx="106">
                  <c:v>1518.0953232257343</c:v>
                </c:pt>
                <c:pt idx="107">
                  <c:v>670.27118462416649</c:v>
                </c:pt>
                <c:pt idx="108">
                  <c:v>265.77200940226669</c:v>
                </c:pt>
                <c:pt idx="109">
                  <c:v>39.193191084300032</c:v>
                </c:pt>
                <c:pt idx="110">
                  <c:v>1381.1906220999983</c:v>
                </c:pt>
                <c:pt idx="111">
                  <c:v>3582.952350298473</c:v>
                </c:pt>
                <c:pt idx="112">
                  <c:v>2019.8284978871354</c:v>
                </c:pt>
                <c:pt idx="113">
                  <c:v>3614.4656150361952</c:v>
                </c:pt>
                <c:pt idx="114">
                  <c:v>1761.9846037250697</c:v>
                </c:pt>
                <c:pt idx="115">
                  <c:v>1703.6951503327339</c:v>
                </c:pt>
                <c:pt idx="116">
                  <c:v>631.031976926933</c:v>
                </c:pt>
                <c:pt idx="117">
                  <c:v>60.102775019833452</c:v>
                </c:pt>
                <c:pt idx="118">
                  <c:v>150.72673471306678</c:v>
                </c:pt>
                <c:pt idx="119">
                  <c:v>1007.4760708670671</c:v>
                </c:pt>
                <c:pt idx="120">
                  <c:v>1037.0701047123978</c:v>
                </c:pt>
                <c:pt idx="121">
                  <c:v>2177.0905308327033</c:v>
                </c:pt>
                <c:pt idx="122">
                  <c:v>303.27774442103322</c:v>
                </c:pt>
                <c:pt idx="123">
                  <c:v>1561.2445286534598</c:v>
                </c:pt>
              </c:numCache>
            </c:numRef>
          </c:yVal>
          <c:smooth val="0"/>
        </c:ser>
        <c:dLbls>
          <c:showLegendKey val="0"/>
          <c:showVal val="0"/>
          <c:showCatName val="0"/>
          <c:showSerName val="0"/>
          <c:showPercent val="0"/>
          <c:showBubbleSize val="0"/>
        </c:dLbls>
        <c:axId val="96868992"/>
        <c:axId val="96908032"/>
      </c:scatterChart>
      <c:valAx>
        <c:axId val="96868992"/>
        <c:scaling>
          <c:orientation val="minMax"/>
        </c:scaling>
        <c:delete val="0"/>
        <c:axPos val="b"/>
        <c:title>
          <c:tx>
            <c:rich>
              <a:bodyPr/>
              <a:lstStyle/>
              <a:p>
                <a:pPr>
                  <a:defRPr/>
                </a:pPr>
                <a:r>
                  <a:rPr lang="en-US"/>
                  <a:t>Average land value per acre ($1,000s)</a:t>
                </a:r>
              </a:p>
            </c:rich>
          </c:tx>
          <c:overlay val="0"/>
        </c:title>
        <c:numFmt formatCode="#,##0" sourceLinked="0"/>
        <c:majorTickMark val="out"/>
        <c:minorTickMark val="none"/>
        <c:tickLblPos val="nextTo"/>
        <c:crossAx val="96908032"/>
        <c:crosses val="autoZero"/>
        <c:crossBetween val="midCat"/>
      </c:valAx>
      <c:valAx>
        <c:axId val="96908032"/>
        <c:scaling>
          <c:orientation val="minMax"/>
          <c:max val="10000"/>
        </c:scaling>
        <c:delete val="0"/>
        <c:axPos val="l"/>
        <c:title>
          <c:tx>
            <c:rich>
              <a:bodyPr rot="-5400000" vert="horz"/>
              <a:lstStyle/>
              <a:p>
                <a:pPr>
                  <a:defRPr/>
                </a:pPr>
                <a:r>
                  <a:rPr lang="en-US"/>
                  <a:t>Household</a:t>
                </a:r>
                <a:r>
                  <a:rPr lang="en-US" baseline="0"/>
                  <a:t> change per decade, 2010-2040</a:t>
                </a:r>
                <a:endParaRPr lang="en-US"/>
              </a:p>
            </c:rich>
          </c:tx>
          <c:overlay val="0"/>
        </c:title>
        <c:numFmt formatCode="#,##0" sourceLinked="1"/>
        <c:majorTickMark val="out"/>
        <c:minorTickMark val="none"/>
        <c:tickLblPos val="nextTo"/>
        <c:crossAx val="96868992"/>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0AD649-2F5D-4A4D-91DF-FC94AA481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6467</Words>
  <Characters>36865</Characters>
  <Application>Microsoft Office Word</Application>
  <DocSecurity>4</DocSecurity>
  <Lines>307</Lines>
  <Paragraphs>86</Paragraphs>
  <ScaleCrop>false</ScaleCrop>
  <HeadingPairs>
    <vt:vector size="2" baseType="variant">
      <vt:variant>
        <vt:lpstr>Title</vt:lpstr>
      </vt:variant>
      <vt:variant>
        <vt:i4>1</vt:i4>
      </vt:variant>
    </vt:vector>
  </HeadingPairs>
  <TitlesOfParts>
    <vt:vector size="1" baseType="lpstr">
      <vt:lpstr>CMAP Socioeconomic Inventory Validation and Forecasting Method</vt:lpstr>
    </vt:vector>
  </TitlesOfParts>
  <Company>Chicago Metropolitan Agency For Planning</Company>
  <LinksUpToDate>false</LinksUpToDate>
  <CharactersWithSpaces>43246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CMAP Socioeconomic Inventory Validation and Forecasting Method</dc:title>
  <dc:creator>kwies</dc:creator>
  <cp:lastModifiedBy>Hillary Green</cp:lastModifiedBy>
  <cp:revision>2</cp:revision>
  <cp:lastPrinted>2011-01-25T20:52:00Z</cp:lastPrinted>
  <dcterms:created xsi:type="dcterms:W3CDTF">2013-07-08T21:18:00Z</dcterms:created>
  <dcterms:modified xsi:type="dcterms:W3CDTF">2013-07-08T21:18:00Z</dcterms:modified>
</cp:coreProperties>
</file>