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85" w:rsidRDefault="00114985" w:rsidP="00FB2DE4">
      <w:pPr>
        <w:pStyle w:val="Heading2"/>
        <w:spacing w:before="0"/>
        <w:rPr>
          <w:rFonts w:ascii="Palatino Linotype" w:hAnsi="Palatino Linotype"/>
        </w:rPr>
      </w:pPr>
      <w:bookmarkStart w:id="0" w:name="_GoBack"/>
      <w:bookmarkEnd w:id="0"/>
      <w:r w:rsidRPr="00877A9E">
        <w:rPr>
          <w:rFonts w:ascii="Palatino Linotype" w:hAnsi="Palatino Linotype"/>
        </w:rPr>
        <w:t>Improve Education and Workforce Development</w:t>
      </w:r>
    </w:p>
    <w:p w:rsidR="00114985" w:rsidRPr="00877A9E" w:rsidRDefault="00114985" w:rsidP="00FB2DE4"/>
    <w:p w:rsidR="00114985" w:rsidRPr="00877A9E" w:rsidRDefault="00114985" w:rsidP="00FB2DE4">
      <w:pPr>
        <w:pStyle w:val="Heading3"/>
        <w:spacing w:before="0"/>
        <w:rPr>
          <w:rFonts w:ascii="Palatino Linotype" w:hAnsi="Palatino Linotype"/>
        </w:rPr>
      </w:pPr>
      <w:r w:rsidRPr="00877A9E">
        <w:rPr>
          <w:rFonts w:ascii="Palatino Linotype" w:hAnsi="Palatino Linotype"/>
        </w:rPr>
        <w:t xml:space="preserve">Implementation Action Area #1: Improve Coordination </w:t>
      </w:r>
      <w:proofErr w:type="gramStart"/>
      <w:r w:rsidRPr="00877A9E">
        <w:rPr>
          <w:rFonts w:ascii="Palatino Linotype" w:hAnsi="Palatino Linotype"/>
        </w:rPr>
        <w:t>Between</w:t>
      </w:r>
      <w:proofErr w:type="gramEnd"/>
      <w:r w:rsidRPr="00877A9E">
        <w:rPr>
          <w:rFonts w:ascii="Palatino Linotype" w:hAnsi="Palatino Linotype"/>
        </w:rPr>
        <w:t xml:space="preserve"> Education, Workforce Development, and Economic Development</w:t>
      </w:r>
    </w:p>
    <w:p w:rsidR="00114985" w:rsidRPr="00877A9E" w:rsidRDefault="00114985" w:rsidP="00FB2DE4">
      <w:pPr>
        <w:rPr>
          <w:szCs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1710"/>
        <w:gridCol w:w="3960"/>
        <w:gridCol w:w="1980"/>
      </w:tblGrid>
      <w:tr w:rsidR="006B23D1" w:rsidRPr="00877A9E" w:rsidTr="00707205">
        <w:tc>
          <w:tcPr>
            <w:tcW w:w="2178" w:type="dxa"/>
          </w:tcPr>
          <w:p w:rsidR="006B23D1" w:rsidRPr="00877A9E" w:rsidRDefault="006B23D1" w:rsidP="00FB2DE4">
            <w:pPr>
              <w:rPr>
                <w:rFonts w:cs="Arial"/>
                <w:b/>
                <w:szCs w:val="22"/>
              </w:rPr>
            </w:pPr>
            <w:r w:rsidRPr="00877A9E">
              <w:rPr>
                <w:rFonts w:cs="Arial"/>
                <w:b/>
                <w:szCs w:val="22"/>
              </w:rPr>
              <w:t>Action</w:t>
            </w:r>
          </w:p>
        </w:tc>
        <w:tc>
          <w:tcPr>
            <w:tcW w:w="1710" w:type="dxa"/>
          </w:tcPr>
          <w:p w:rsidR="006B23D1" w:rsidRPr="00877A9E" w:rsidRDefault="006B23D1" w:rsidP="00FB2DE4">
            <w:pPr>
              <w:rPr>
                <w:rFonts w:cs="Arial"/>
                <w:b/>
                <w:szCs w:val="22"/>
              </w:rPr>
            </w:pPr>
            <w:r w:rsidRPr="00877A9E">
              <w:rPr>
                <w:rFonts w:cs="Arial"/>
                <w:b/>
                <w:szCs w:val="22"/>
              </w:rPr>
              <w:t>Lead Implementers</w:t>
            </w:r>
          </w:p>
        </w:tc>
        <w:tc>
          <w:tcPr>
            <w:tcW w:w="3960" w:type="dxa"/>
          </w:tcPr>
          <w:p w:rsidR="006B23D1" w:rsidRPr="00877A9E" w:rsidRDefault="006B23D1" w:rsidP="00FB2DE4">
            <w:pPr>
              <w:rPr>
                <w:rFonts w:cs="Arial"/>
                <w:b/>
                <w:szCs w:val="22"/>
              </w:rPr>
            </w:pPr>
            <w:r w:rsidRPr="00877A9E">
              <w:rPr>
                <w:rFonts w:cs="Arial"/>
                <w:b/>
                <w:szCs w:val="22"/>
              </w:rPr>
              <w:t>Specifics</w:t>
            </w:r>
          </w:p>
        </w:tc>
        <w:tc>
          <w:tcPr>
            <w:tcW w:w="1980" w:type="dxa"/>
          </w:tcPr>
          <w:p w:rsidR="006B23D1" w:rsidRDefault="006B23D1" w:rsidP="00FB2DE4">
            <w:pPr>
              <w:rPr>
                <w:rFonts w:cs="Arial"/>
                <w:b/>
                <w:szCs w:val="22"/>
              </w:rPr>
            </w:pPr>
            <w:r>
              <w:rPr>
                <w:rFonts w:cs="Arial"/>
                <w:b/>
                <w:szCs w:val="22"/>
              </w:rPr>
              <w:t>Retain/Revise/</w:t>
            </w:r>
          </w:p>
          <w:p w:rsidR="006B23D1" w:rsidRPr="00877A9E" w:rsidRDefault="008869A5" w:rsidP="00FB2DE4">
            <w:pPr>
              <w:rPr>
                <w:rFonts w:cs="Arial"/>
                <w:b/>
                <w:szCs w:val="22"/>
              </w:rPr>
            </w:pPr>
            <w:r>
              <w:rPr>
                <w:rFonts w:cs="Arial"/>
                <w:b/>
                <w:szCs w:val="22"/>
              </w:rPr>
              <w:t>Complete/</w:t>
            </w:r>
            <w:r w:rsidR="006B23D1">
              <w:rPr>
                <w:rFonts w:cs="Arial"/>
                <w:b/>
                <w:szCs w:val="22"/>
              </w:rPr>
              <w:t>Delete</w:t>
            </w:r>
          </w:p>
        </w:tc>
      </w:tr>
      <w:tr w:rsidR="006B23D1" w:rsidRPr="00877A9E" w:rsidTr="00707205">
        <w:tc>
          <w:tcPr>
            <w:tcW w:w="2178" w:type="dxa"/>
          </w:tcPr>
          <w:p w:rsidR="006B23D1" w:rsidRPr="00877A9E" w:rsidRDefault="006B23D1" w:rsidP="00FB2DE4">
            <w:pPr>
              <w:rPr>
                <w:rFonts w:cs="Arial"/>
                <w:szCs w:val="22"/>
              </w:rPr>
            </w:pPr>
            <w:r w:rsidRPr="00877A9E">
              <w:rPr>
                <w:rFonts w:cs="Arial"/>
                <w:szCs w:val="22"/>
              </w:rPr>
              <w:t xml:space="preserve">Prepare assessment reports on cross-system coordination </w:t>
            </w:r>
          </w:p>
        </w:tc>
        <w:tc>
          <w:tcPr>
            <w:tcW w:w="1710" w:type="dxa"/>
          </w:tcPr>
          <w:p w:rsidR="006B23D1" w:rsidRPr="00877A9E" w:rsidRDefault="006B23D1" w:rsidP="00FB2DE4">
            <w:pPr>
              <w:rPr>
                <w:rFonts w:cs="Arial"/>
                <w:szCs w:val="22"/>
              </w:rPr>
            </w:pPr>
            <w:r w:rsidRPr="00877A9E">
              <w:rPr>
                <w:rFonts w:cs="Arial"/>
                <w:szCs w:val="22"/>
              </w:rPr>
              <w:t>Nonprofits, philanthropic</w:t>
            </w:r>
          </w:p>
        </w:tc>
        <w:tc>
          <w:tcPr>
            <w:tcW w:w="3960" w:type="dxa"/>
          </w:tcPr>
          <w:p w:rsidR="006B23D1" w:rsidRPr="00877A9E" w:rsidRDefault="007D7C05" w:rsidP="00205C69">
            <w:pPr>
              <w:rPr>
                <w:rFonts w:cs="Arial"/>
                <w:szCs w:val="22"/>
              </w:rPr>
            </w:pPr>
            <w:r>
              <w:rPr>
                <w:rFonts w:cs="Arial"/>
                <w:szCs w:val="22"/>
              </w:rPr>
              <w:t xml:space="preserve">Complete </w:t>
            </w:r>
            <w:r w:rsidR="000B47CB">
              <w:rPr>
                <w:rFonts w:cs="Arial"/>
                <w:szCs w:val="22"/>
              </w:rPr>
              <w:t xml:space="preserve">these assessments </w:t>
            </w:r>
            <w:r>
              <w:rPr>
                <w:rFonts w:cs="Arial"/>
                <w:szCs w:val="22"/>
              </w:rPr>
              <w:t xml:space="preserve">as an independent report, or continue to include aspects of a cross-system assessment in related reports. For example, the CMAP </w:t>
            </w:r>
            <w:r w:rsidR="00205C69">
              <w:rPr>
                <w:rFonts w:cs="Arial"/>
                <w:szCs w:val="22"/>
              </w:rPr>
              <w:t>cluster drill-down</w:t>
            </w:r>
            <w:r>
              <w:rPr>
                <w:rFonts w:cs="Arial"/>
                <w:szCs w:val="22"/>
              </w:rPr>
              <w:t xml:space="preserve"> reports describe current coordination efforts and ways to expand upon the</w:t>
            </w:r>
            <w:r w:rsidR="000B47CB">
              <w:rPr>
                <w:rFonts w:cs="Arial"/>
                <w:szCs w:val="22"/>
              </w:rPr>
              <w:t>m</w:t>
            </w:r>
            <w:r>
              <w:rPr>
                <w:rFonts w:cs="Arial"/>
                <w:szCs w:val="22"/>
              </w:rPr>
              <w:t xml:space="preserve">. </w:t>
            </w:r>
            <w:r w:rsidR="0006117C">
              <w:rPr>
                <w:rFonts w:cs="Arial"/>
                <w:szCs w:val="22"/>
              </w:rPr>
              <w:t xml:space="preserve">Additionally, </w:t>
            </w:r>
            <w:r w:rsidR="00205C69">
              <w:rPr>
                <w:rFonts w:cs="Arial"/>
                <w:szCs w:val="22"/>
              </w:rPr>
              <w:t>this</w:t>
            </w:r>
            <w:r>
              <w:rPr>
                <w:rFonts w:cs="Arial"/>
                <w:szCs w:val="22"/>
              </w:rPr>
              <w:t xml:space="preserve"> </w:t>
            </w:r>
            <w:r w:rsidR="0006117C">
              <w:rPr>
                <w:rFonts w:cs="Arial"/>
                <w:szCs w:val="22"/>
              </w:rPr>
              <w:t xml:space="preserve">work </w:t>
            </w:r>
            <w:r>
              <w:rPr>
                <w:rFonts w:cs="Arial"/>
                <w:szCs w:val="22"/>
              </w:rPr>
              <w:t xml:space="preserve">can also be incorporated into </w:t>
            </w:r>
            <w:r w:rsidR="00417DDE">
              <w:rPr>
                <w:rFonts w:cs="Arial"/>
                <w:szCs w:val="22"/>
              </w:rPr>
              <w:t>local planning</w:t>
            </w:r>
            <w:r>
              <w:rPr>
                <w:rFonts w:cs="Arial"/>
                <w:szCs w:val="22"/>
              </w:rPr>
              <w:t xml:space="preserve"> projects.  </w:t>
            </w:r>
            <w:r w:rsidR="0006117C">
              <w:rPr>
                <w:rFonts w:cs="Arial"/>
                <w:szCs w:val="22"/>
              </w:rPr>
              <w:t xml:space="preserve">These assessments should </w:t>
            </w:r>
            <w:r>
              <w:rPr>
                <w:rFonts w:cs="Arial"/>
                <w:szCs w:val="22"/>
              </w:rPr>
              <w:t>i</w:t>
            </w:r>
            <w:r w:rsidR="006B23D1" w:rsidRPr="00877A9E">
              <w:rPr>
                <w:rFonts w:cs="Arial"/>
                <w:szCs w:val="22"/>
              </w:rPr>
              <w:t xml:space="preserve">dentify and convene economic development, education, and workforce leaders in each industry, and determine areas of duplication or gaps.  </w:t>
            </w:r>
            <w:r w:rsidR="0006117C">
              <w:rPr>
                <w:rFonts w:cs="Arial"/>
                <w:szCs w:val="22"/>
              </w:rPr>
              <w:t>They should also s</w:t>
            </w:r>
            <w:r w:rsidR="006B23D1" w:rsidRPr="00877A9E">
              <w:rPr>
                <w:rFonts w:cs="Arial"/>
                <w:szCs w:val="22"/>
              </w:rPr>
              <w:t>ummarize the conclusions with recommendations for next steps, including setting of common goals and pursuit of pilot programs to improve coordination.</w:t>
            </w:r>
          </w:p>
        </w:tc>
        <w:tc>
          <w:tcPr>
            <w:tcW w:w="1980" w:type="dxa"/>
          </w:tcPr>
          <w:p w:rsidR="006B23D1" w:rsidRDefault="000B47CB" w:rsidP="00FB2DE4">
            <w:pPr>
              <w:rPr>
                <w:rFonts w:cs="Arial"/>
                <w:szCs w:val="22"/>
              </w:rPr>
            </w:pPr>
            <w:r>
              <w:rPr>
                <w:rFonts w:cs="Arial"/>
                <w:szCs w:val="22"/>
              </w:rPr>
              <w:t>Revise</w:t>
            </w:r>
          </w:p>
          <w:p w:rsidR="007F4C63" w:rsidRPr="00877A9E" w:rsidRDefault="007F4C63" w:rsidP="00FB2DE4">
            <w:pPr>
              <w:rPr>
                <w:rFonts w:cs="Arial"/>
                <w:szCs w:val="22"/>
              </w:rPr>
            </w:pPr>
          </w:p>
        </w:tc>
      </w:tr>
    </w:tbl>
    <w:p w:rsidR="00114985" w:rsidRPr="00877A9E" w:rsidRDefault="00114985" w:rsidP="00FB2DE4">
      <w:pPr>
        <w:rPr>
          <w:szCs w:val="22"/>
        </w:rPr>
      </w:pPr>
    </w:p>
    <w:p w:rsidR="00114985" w:rsidRPr="00877A9E" w:rsidRDefault="00114985" w:rsidP="00FB2DE4">
      <w:pPr>
        <w:rPr>
          <w:b/>
          <w:szCs w:val="22"/>
        </w:rPr>
      </w:pPr>
      <w:r w:rsidRPr="00877A9E">
        <w:rPr>
          <w:b/>
          <w:szCs w:val="22"/>
        </w:rPr>
        <w:t>Implementation Examples:</w:t>
      </w:r>
    </w:p>
    <w:p w:rsidR="00874B61" w:rsidRDefault="00874B61" w:rsidP="00FB2DE4">
      <w:pPr>
        <w:pStyle w:val="ListParagraph"/>
        <w:numPr>
          <w:ilvl w:val="0"/>
          <w:numId w:val="9"/>
        </w:numPr>
      </w:pPr>
      <w:r>
        <w:t xml:space="preserve">On a regional scale, both the </w:t>
      </w:r>
      <w:hyperlink r:id="rId9" w:history="1">
        <w:r w:rsidRPr="007F1E44">
          <w:rPr>
            <w:rStyle w:val="Hyperlink"/>
          </w:rPr>
          <w:t>Manufacturing</w:t>
        </w:r>
      </w:hyperlink>
      <w:r>
        <w:t xml:space="preserve"> and the </w:t>
      </w:r>
      <w:hyperlink r:id="rId10" w:history="1">
        <w:r w:rsidRPr="007F1E44">
          <w:rPr>
            <w:rStyle w:val="Hyperlink"/>
          </w:rPr>
          <w:t>Freight</w:t>
        </w:r>
      </w:hyperlink>
      <w:r>
        <w:t xml:space="preserve"> Cluster Drill-Down reports found examples of collaboration and coordination between education, workforce development, and economic development and recommended expanding these types of collaborations. </w:t>
      </w:r>
    </w:p>
    <w:p w:rsidR="00C62F55" w:rsidRDefault="00C62F55" w:rsidP="00FB2DE4">
      <w:pPr>
        <w:pStyle w:val="ListParagraph"/>
        <w:numPr>
          <w:ilvl w:val="0"/>
          <w:numId w:val="9"/>
        </w:numPr>
      </w:pPr>
      <w:r>
        <w:t xml:space="preserve">CMAP has integrated assessments of cross-system coordination into several Local Technical Assistance projects, as well as the Cluster Drill-Down reports. These assessments </w:t>
      </w:r>
      <w:r w:rsidR="007F1E44">
        <w:t>we</w:t>
      </w:r>
      <w:r>
        <w:t xml:space="preserve">re not as robust as described in the plan, though they leveraged related projects and resulted in a better understanding of existing coordination and opportunities for greater coordination. The </w:t>
      </w:r>
      <w:hyperlink r:id="rId11" w:history="1">
        <w:r w:rsidRPr="007F1E44">
          <w:rPr>
            <w:rStyle w:val="Hyperlink"/>
          </w:rPr>
          <w:t xml:space="preserve">Blue Island Comprehensive </w:t>
        </w:r>
        <w:r w:rsidR="0036035C" w:rsidRPr="007F1E44">
          <w:rPr>
            <w:rStyle w:val="Hyperlink"/>
          </w:rPr>
          <w:t>P</w:t>
        </w:r>
        <w:r w:rsidRPr="007F1E44">
          <w:rPr>
            <w:rStyle w:val="Hyperlink"/>
          </w:rPr>
          <w:t>lan</w:t>
        </w:r>
      </w:hyperlink>
      <w:r>
        <w:t xml:space="preserve"> </w:t>
      </w:r>
      <w:r w:rsidR="00874B61">
        <w:t xml:space="preserve">was </w:t>
      </w:r>
      <w:r>
        <w:t>completed through the first round of LTA projects</w:t>
      </w:r>
      <w:r w:rsidR="0036035C">
        <w:t xml:space="preserve"> in 2012</w:t>
      </w:r>
      <w:r>
        <w:t xml:space="preserve"> and included an analysis of existing workforce development services and programs</w:t>
      </w:r>
      <w:r w:rsidR="00874B61">
        <w:t xml:space="preserve"> </w:t>
      </w:r>
      <w:r>
        <w:t>completed by Chicago Jobs Co</w:t>
      </w:r>
      <w:r w:rsidR="0036035C">
        <w:t xml:space="preserve">uncil. </w:t>
      </w:r>
      <w:r w:rsidR="007F1E44">
        <w:t xml:space="preserve"> </w:t>
      </w:r>
      <w:r w:rsidR="0036035C">
        <w:t>This assessment and an examination of development opportunities led to an implementation strategy to “create wo</w:t>
      </w:r>
      <w:r w:rsidR="007F1E44">
        <w:t xml:space="preserve">rkforce training opportunities” </w:t>
      </w:r>
      <w:r w:rsidR="0036035C">
        <w:t xml:space="preserve">and several actions that create linkages between economic development strategies and workforce development services. </w:t>
      </w:r>
    </w:p>
    <w:p w:rsidR="0036035C" w:rsidRDefault="0036035C" w:rsidP="00FB2DE4">
      <w:pPr>
        <w:pStyle w:val="ListParagraph"/>
        <w:numPr>
          <w:ilvl w:val="0"/>
          <w:numId w:val="9"/>
        </w:numPr>
      </w:pPr>
      <w:r>
        <w:lastRenderedPageBreak/>
        <w:t xml:space="preserve">The </w:t>
      </w:r>
      <w:hyperlink r:id="rId12" w:history="1">
        <w:r w:rsidRPr="007F1E44">
          <w:rPr>
            <w:rStyle w:val="Hyperlink"/>
          </w:rPr>
          <w:t>Berwyn Comprehensive Plan</w:t>
        </w:r>
      </w:hyperlink>
      <w:r>
        <w:t xml:space="preserve"> found </w:t>
      </w:r>
      <w:r w:rsidR="00874B61">
        <w:t>need for increased</w:t>
      </w:r>
      <w:r>
        <w:t xml:space="preserve"> collaboration between regional businesses and non-profit training and education service providers. The plan calls for improved connections between workforce service providers and residents in need of workforce services. </w:t>
      </w:r>
    </w:p>
    <w:p w:rsidR="00CE2B76" w:rsidRDefault="00CE2B76" w:rsidP="00FB2DE4">
      <w:pPr>
        <w:pStyle w:val="ListParagraph"/>
        <w:numPr>
          <w:ilvl w:val="0"/>
          <w:numId w:val="9"/>
        </w:numPr>
      </w:pPr>
      <w:r>
        <w:t xml:space="preserve">Several other Local Technical Assistance projects integrated workforce development, including the projects with Franklin </w:t>
      </w:r>
      <w:r w:rsidR="00CB0C9E">
        <w:t>Park,</w:t>
      </w:r>
      <w:r>
        <w:t xml:space="preserve"> Morton Grove, and Hoffman Estates.  </w:t>
      </w:r>
      <w:r w:rsidR="00CB0C9E">
        <w:t>These projects</w:t>
      </w:r>
      <w:r>
        <w:t xml:space="preserve"> identified local efforts and opportunities to strengthen collaboration.</w:t>
      </w:r>
    </w:p>
    <w:p w:rsidR="008E786A" w:rsidRDefault="008E786A" w:rsidP="00A152BA">
      <w:pPr>
        <w:pStyle w:val="ListParagraph"/>
        <w:numPr>
          <w:ilvl w:val="0"/>
          <w:numId w:val="9"/>
        </w:numPr>
      </w:pPr>
      <w:r>
        <w:t xml:space="preserve">In recent years, the region has secured significant investments in manufacturing workforce development programs from the public and private sectors.  The region should carefully assess the outcomes of </w:t>
      </w:r>
      <w:r w:rsidR="00A152BA">
        <w:t>effort</w:t>
      </w:r>
      <w:r>
        <w:t xml:space="preserve">s such as </w:t>
      </w:r>
      <w:r w:rsidR="00A152BA">
        <w:t>expansion of</w:t>
      </w:r>
      <w:r>
        <w:t xml:space="preserve"> </w:t>
      </w:r>
      <w:r w:rsidR="00A152BA">
        <w:t xml:space="preserve">Harper College’s </w:t>
      </w:r>
      <w:r>
        <w:t xml:space="preserve">advanced manufacturing </w:t>
      </w:r>
      <w:r w:rsidR="00A152BA">
        <w:t>training</w:t>
      </w:r>
      <w:r>
        <w:t xml:space="preserve"> to area community colleges, the Manufacturing Careers Internship Program, and the Calumet Green Manufacturing </w:t>
      </w:r>
      <w:r w:rsidR="00A152BA">
        <w:t>partnership.</w:t>
      </w:r>
    </w:p>
    <w:p w:rsidR="006B23D1" w:rsidRDefault="006B23D1" w:rsidP="00FB2DE4">
      <w:pPr>
        <w:rPr>
          <w:b/>
          <w:szCs w:val="22"/>
        </w:rPr>
      </w:pPr>
    </w:p>
    <w:p w:rsidR="008869A5" w:rsidRDefault="006B23D1" w:rsidP="00FB2DE4">
      <w:pPr>
        <w:rPr>
          <w:b/>
          <w:szCs w:val="22"/>
        </w:rPr>
      </w:pPr>
      <w:r>
        <w:rPr>
          <w:b/>
          <w:szCs w:val="22"/>
        </w:rPr>
        <w:t>Rationale for Retain/</w:t>
      </w:r>
      <w:r w:rsidR="008869A5">
        <w:rPr>
          <w:b/>
          <w:szCs w:val="22"/>
        </w:rPr>
        <w:t>Revise/Complete/Delete</w:t>
      </w:r>
      <w:r>
        <w:rPr>
          <w:b/>
          <w:szCs w:val="22"/>
        </w:rPr>
        <w:t xml:space="preserve"> Assessment:</w:t>
      </w:r>
    </w:p>
    <w:p w:rsidR="000B47CB" w:rsidRDefault="000B47CB" w:rsidP="00FB2DE4">
      <w:pPr>
        <w:pStyle w:val="ListParagraph"/>
        <w:numPr>
          <w:ilvl w:val="0"/>
          <w:numId w:val="13"/>
        </w:numPr>
        <w:ind w:left="720"/>
      </w:pPr>
      <w:r>
        <w:t>Revise to delete references to specific industrial sectors</w:t>
      </w:r>
      <w:r w:rsidR="008869A5">
        <w:t>.</w:t>
      </w:r>
    </w:p>
    <w:p w:rsidR="00E4495A" w:rsidRDefault="000B47CB" w:rsidP="00FB2DE4">
      <w:pPr>
        <w:pStyle w:val="ListParagraph"/>
        <w:numPr>
          <w:ilvl w:val="0"/>
          <w:numId w:val="13"/>
        </w:numPr>
        <w:ind w:left="720"/>
      </w:pPr>
      <w:r>
        <w:t>Revise to note potential vehicles to deliver these assessments.</w:t>
      </w:r>
      <w:r w:rsidR="00E4495A">
        <w:br w:type="page"/>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1710"/>
        <w:gridCol w:w="4140"/>
        <w:gridCol w:w="1980"/>
      </w:tblGrid>
      <w:tr w:rsidR="00EA6049" w:rsidRPr="00877A9E" w:rsidTr="00707205">
        <w:tc>
          <w:tcPr>
            <w:tcW w:w="1998" w:type="dxa"/>
          </w:tcPr>
          <w:p w:rsidR="00EA6049" w:rsidRPr="00877A9E" w:rsidRDefault="00EA6049" w:rsidP="00FB2DE4">
            <w:pPr>
              <w:rPr>
                <w:rFonts w:cs="Arial"/>
                <w:b/>
                <w:szCs w:val="22"/>
              </w:rPr>
            </w:pPr>
            <w:r w:rsidRPr="00877A9E">
              <w:rPr>
                <w:rFonts w:cs="Arial"/>
                <w:b/>
                <w:szCs w:val="22"/>
              </w:rPr>
              <w:lastRenderedPageBreak/>
              <w:t>Action</w:t>
            </w:r>
          </w:p>
        </w:tc>
        <w:tc>
          <w:tcPr>
            <w:tcW w:w="1710" w:type="dxa"/>
          </w:tcPr>
          <w:p w:rsidR="00EA6049" w:rsidRPr="00877A9E" w:rsidRDefault="00EA6049" w:rsidP="00FB2DE4">
            <w:pPr>
              <w:rPr>
                <w:rFonts w:cs="Arial"/>
                <w:b/>
                <w:szCs w:val="22"/>
              </w:rPr>
            </w:pPr>
            <w:r w:rsidRPr="00877A9E">
              <w:rPr>
                <w:rFonts w:cs="Arial"/>
                <w:b/>
                <w:szCs w:val="22"/>
              </w:rPr>
              <w:t>Lead Implementers</w:t>
            </w:r>
          </w:p>
        </w:tc>
        <w:tc>
          <w:tcPr>
            <w:tcW w:w="4140" w:type="dxa"/>
          </w:tcPr>
          <w:p w:rsidR="00EA6049" w:rsidRPr="00877A9E" w:rsidRDefault="00EA6049" w:rsidP="00FB2DE4">
            <w:pPr>
              <w:rPr>
                <w:rFonts w:cs="Arial"/>
                <w:b/>
                <w:szCs w:val="22"/>
              </w:rPr>
            </w:pPr>
            <w:r w:rsidRPr="00877A9E">
              <w:rPr>
                <w:rFonts w:cs="Arial"/>
                <w:b/>
                <w:szCs w:val="22"/>
              </w:rPr>
              <w:t>Specifics</w:t>
            </w:r>
          </w:p>
        </w:tc>
        <w:tc>
          <w:tcPr>
            <w:tcW w:w="1980" w:type="dxa"/>
          </w:tcPr>
          <w:p w:rsidR="00EA6049" w:rsidRDefault="00EA6049" w:rsidP="00FB2DE4">
            <w:pPr>
              <w:rPr>
                <w:rFonts w:cs="Arial"/>
                <w:b/>
                <w:szCs w:val="22"/>
              </w:rPr>
            </w:pPr>
            <w:r>
              <w:rPr>
                <w:rFonts w:cs="Arial"/>
                <w:b/>
                <w:szCs w:val="22"/>
              </w:rPr>
              <w:t>Retain/Revise/</w:t>
            </w:r>
          </w:p>
          <w:p w:rsidR="00EA6049" w:rsidRPr="00877A9E" w:rsidRDefault="008869A5" w:rsidP="00FB2DE4">
            <w:pPr>
              <w:rPr>
                <w:rFonts w:cs="Arial"/>
                <w:b/>
                <w:szCs w:val="22"/>
              </w:rPr>
            </w:pPr>
            <w:r>
              <w:rPr>
                <w:rFonts w:cs="Arial"/>
                <w:b/>
                <w:szCs w:val="22"/>
              </w:rPr>
              <w:t>Complete/</w:t>
            </w:r>
            <w:r w:rsidR="00EA6049">
              <w:rPr>
                <w:rFonts w:cs="Arial"/>
                <w:b/>
                <w:szCs w:val="22"/>
              </w:rPr>
              <w:t>Delete</w:t>
            </w:r>
          </w:p>
        </w:tc>
      </w:tr>
      <w:tr w:rsidR="00EA6049" w:rsidRPr="00877A9E" w:rsidTr="00707205">
        <w:tc>
          <w:tcPr>
            <w:tcW w:w="1998" w:type="dxa"/>
          </w:tcPr>
          <w:p w:rsidR="00EA6049" w:rsidRPr="00877A9E" w:rsidRDefault="00EA6049" w:rsidP="00FB2DE4">
            <w:pPr>
              <w:rPr>
                <w:rFonts w:cs="Arial"/>
                <w:szCs w:val="22"/>
              </w:rPr>
            </w:pPr>
            <w:r w:rsidRPr="00877A9E">
              <w:rPr>
                <w:rFonts w:cs="Arial"/>
                <w:szCs w:val="22"/>
              </w:rPr>
              <w:t>Expand on successful workforce development coordination programs</w:t>
            </w:r>
          </w:p>
        </w:tc>
        <w:tc>
          <w:tcPr>
            <w:tcW w:w="1710" w:type="dxa"/>
          </w:tcPr>
          <w:p w:rsidR="00EA6049" w:rsidRPr="00877A9E" w:rsidRDefault="00EA6049" w:rsidP="00FB2DE4">
            <w:pPr>
              <w:rPr>
                <w:rFonts w:cs="Arial"/>
                <w:szCs w:val="22"/>
              </w:rPr>
            </w:pPr>
            <w:r w:rsidRPr="00877A9E">
              <w:rPr>
                <w:rFonts w:cs="Arial"/>
                <w:szCs w:val="22"/>
              </w:rPr>
              <w:t>State (DCEO), community colleges, Workforce Investment Boards, economic development organizations</w:t>
            </w:r>
          </w:p>
        </w:tc>
        <w:tc>
          <w:tcPr>
            <w:tcW w:w="4140" w:type="dxa"/>
          </w:tcPr>
          <w:p w:rsidR="00EA6049" w:rsidRPr="00877A9E" w:rsidRDefault="00EA6049" w:rsidP="00205C69">
            <w:pPr>
              <w:rPr>
                <w:rFonts w:cs="Arial"/>
                <w:szCs w:val="22"/>
              </w:rPr>
            </w:pPr>
            <w:r w:rsidRPr="00877A9E">
              <w:rPr>
                <w:rFonts w:cs="Arial"/>
                <w:szCs w:val="22"/>
              </w:rPr>
              <w:t xml:space="preserve">Build on successful </w:t>
            </w:r>
            <w:r w:rsidR="007D7C05">
              <w:rPr>
                <w:rFonts w:cs="Arial"/>
                <w:szCs w:val="22"/>
              </w:rPr>
              <w:t>efforts</w:t>
            </w:r>
            <w:r w:rsidR="0022178D">
              <w:rPr>
                <w:rFonts w:cs="Arial"/>
                <w:szCs w:val="22"/>
              </w:rPr>
              <w:t xml:space="preserve"> </w:t>
            </w:r>
            <w:r w:rsidR="007D7C05">
              <w:rPr>
                <w:rFonts w:cs="Arial"/>
                <w:szCs w:val="22"/>
              </w:rPr>
              <w:t>that foster collaboration,</w:t>
            </w:r>
            <w:r w:rsidR="00B664CE">
              <w:rPr>
                <w:rFonts w:cs="Arial"/>
                <w:szCs w:val="22"/>
              </w:rPr>
              <w:t xml:space="preserve"> reduc</w:t>
            </w:r>
            <w:r w:rsidR="008E786A">
              <w:rPr>
                <w:rFonts w:cs="Arial"/>
                <w:szCs w:val="22"/>
              </w:rPr>
              <w:t>e</w:t>
            </w:r>
            <w:r w:rsidR="00B664CE">
              <w:rPr>
                <w:rFonts w:cs="Arial"/>
                <w:szCs w:val="22"/>
              </w:rPr>
              <w:t xml:space="preserve"> duplication</w:t>
            </w:r>
            <w:r w:rsidR="008E786A">
              <w:rPr>
                <w:rFonts w:cs="Arial"/>
                <w:szCs w:val="22"/>
              </w:rPr>
              <w:t>,</w:t>
            </w:r>
            <w:r w:rsidR="00B664CE">
              <w:rPr>
                <w:rFonts w:cs="Arial"/>
                <w:szCs w:val="22"/>
              </w:rPr>
              <w:t xml:space="preserve"> and increa</w:t>
            </w:r>
            <w:r w:rsidR="008E786A">
              <w:rPr>
                <w:rFonts w:cs="Arial"/>
                <w:szCs w:val="22"/>
              </w:rPr>
              <w:t>se</w:t>
            </w:r>
            <w:r w:rsidR="00B664CE">
              <w:rPr>
                <w:rFonts w:cs="Arial"/>
                <w:szCs w:val="22"/>
              </w:rPr>
              <w:t xml:space="preserve"> accessibility for employers and workers throughout the region. </w:t>
            </w:r>
            <w:r w:rsidRPr="00877A9E">
              <w:rPr>
                <w:rFonts w:cs="Arial"/>
                <w:szCs w:val="22"/>
              </w:rPr>
              <w:t xml:space="preserve">  </w:t>
            </w:r>
            <w:r w:rsidR="00286A1B">
              <w:rPr>
                <w:rFonts w:cs="Arial"/>
                <w:szCs w:val="22"/>
              </w:rPr>
              <w:t>Partner with</w:t>
            </w:r>
            <w:r w:rsidRPr="00877A9E">
              <w:rPr>
                <w:rFonts w:cs="Arial"/>
                <w:szCs w:val="22"/>
              </w:rPr>
              <w:t xml:space="preserve"> the private sector and economic development organizations </w:t>
            </w:r>
            <w:r w:rsidR="004735AE">
              <w:rPr>
                <w:rFonts w:cs="Arial"/>
                <w:szCs w:val="22"/>
              </w:rPr>
              <w:t xml:space="preserve">to </w:t>
            </w:r>
            <w:r w:rsidR="00A152BA">
              <w:rPr>
                <w:rFonts w:cs="Arial"/>
                <w:szCs w:val="22"/>
              </w:rPr>
              <w:t>develop</w:t>
            </w:r>
            <w:r w:rsidR="004735AE">
              <w:rPr>
                <w:rFonts w:cs="Arial"/>
                <w:szCs w:val="22"/>
              </w:rPr>
              <w:t xml:space="preserve"> education and training</w:t>
            </w:r>
            <w:r w:rsidR="00A152BA">
              <w:rPr>
                <w:rFonts w:cs="Arial"/>
                <w:szCs w:val="22"/>
              </w:rPr>
              <w:t xml:space="preserve"> programs that are</w:t>
            </w:r>
            <w:r w:rsidR="004735AE">
              <w:rPr>
                <w:rFonts w:cs="Arial"/>
                <w:szCs w:val="22"/>
              </w:rPr>
              <w:t xml:space="preserve"> responsive to today’s economy. </w:t>
            </w:r>
          </w:p>
        </w:tc>
        <w:tc>
          <w:tcPr>
            <w:tcW w:w="1980" w:type="dxa"/>
          </w:tcPr>
          <w:p w:rsidR="00EA6049" w:rsidRPr="00877A9E" w:rsidRDefault="007F4C63" w:rsidP="00FB2DE4">
            <w:pPr>
              <w:rPr>
                <w:rFonts w:cs="Arial"/>
                <w:szCs w:val="22"/>
              </w:rPr>
            </w:pPr>
            <w:r>
              <w:rPr>
                <w:rFonts w:cs="Arial"/>
                <w:szCs w:val="22"/>
              </w:rPr>
              <w:t xml:space="preserve">Revise </w:t>
            </w:r>
          </w:p>
        </w:tc>
      </w:tr>
    </w:tbl>
    <w:p w:rsidR="00114985" w:rsidRPr="00877A9E" w:rsidRDefault="00114985" w:rsidP="00FB2DE4">
      <w:pPr>
        <w:rPr>
          <w:szCs w:val="22"/>
        </w:rPr>
      </w:pPr>
    </w:p>
    <w:p w:rsidR="00114985" w:rsidRPr="00877A9E" w:rsidRDefault="00114985" w:rsidP="00FB2DE4">
      <w:pPr>
        <w:rPr>
          <w:b/>
          <w:szCs w:val="22"/>
        </w:rPr>
      </w:pPr>
      <w:r w:rsidRPr="00877A9E">
        <w:rPr>
          <w:b/>
          <w:szCs w:val="22"/>
        </w:rPr>
        <w:t>Implementation Examples:</w:t>
      </w:r>
    </w:p>
    <w:p w:rsidR="00DD6272" w:rsidRPr="0031395E" w:rsidRDefault="00DD6272" w:rsidP="00FB2DE4">
      <w:pPr>
        <w:pStyle w:val="ListParagraph"/>
        <w:numPr>
          <w:ilvl w:val="0"/>
          <w:numId w:val="6"/>
        </w:numPr>
      </w:pPr>
      <w:r w:rsidRPr="0031395E">
        <w:t xml:space="preserve">In 2011, </w:t>
      </w:r>
      <w:r w:rsidR="00874B61">
        <w:t xml:space="preserve">the </w:t>
      </w:r>
      <w:r w:rsidRPr="0031395E">
        <w:t>City of Chicago and Cook County began work to combine three separate Local Workforce Investment Areas (LWIAs) – Chicago, Northern Cook</w:t>
      </w:r>
      <w:r w:rsidR="003C62F8">
        <w:t>,</w:t>
      </w:r>
      <w:r w:rsidRPr="0031395E">
        <w:t xml:space="preserve"> and Southern Cook </w:t>
      </w:r>
      <w:r w:rsidR="003C62F8" w:rsidRPr="0031395E">
        <w:t xml:space="preserve">– </w:t>
      </w:r>
      <w:r w:rsidRPr="0031395E">
        <w:t xml:space="preserve">into the </w:t>
      </w:r>
      <w:hyperlink r:id="rId13" w:history="1">
        <w:r w:rsidRPr="0031395E">
          <w:rPr>
            <w:rStyle w:val="Hyperlink"/>
          </w:rPr>
          <w:t>Chicago Cook Workforce Partnership</w:t>
        </w:r>
      </w:hyperlink>
      <w:r w:rsidRPr="0031395E">
        <w:t>.</w:t>
      </w:r>
      <w:r w:rsidR="00B01862">
        <w:t xml:space="preserve"> </w:t>
      </w:r>
      <w:r w:rsidRPr="0031395E">
        <w:t xml:space="preserve"> The Partnership seeks to improve service delivery to residents looking for j</w:t>
      </w:r>
      <w:r w:rsidR="00B01862">
        <w:t>obs, help to eliminate duplicative</w:t>
      </w:r>
      <w:r w:rsidRPr="0031395E">
        <w:t xml:space="preserve"> administrative co</w:t>
      </w:r>
      <w:r w:rsidR="00B01862">
        <w:t>sts across the LWIA system, make</w:t>
      </w:r>
      <w:r w:rsidRPr="0031395E">
        <w:t xml:space="preserve"> more funds available to be used in training and development programs.</w:t>
      </w:r>
    </w:p>
    <w:p w:rsidR="00DD6272" w:rsidRPr="0031395E" w:rsidRDefault="00DD6272" w:rsidP="00FB2DE4">
      <w:pPr>
        <w:pStyle w:val="ListParagraph"/>
        <w:numPr>
          <w:ilvl w:val="0"/>
          <w:numId w:val="6"/>
        </w:numPr>
      </w:pPr>
      <w:r w:rsidRPr="0031395E">
        <w:t xml:space="preserve">In 2012, the </w:t>
      </w:r>
      <w:hyperlink r:id="rId14" w:history="1">
        <w:r w:rsidRPr="0031395E">
          <w:rPr>
            <w:rStyle w:val="Hyperlink"/>
          </w:rPr>
          <w:t>U.S. Department of Labor</w:t>
        </w:r>
      </w:hyperlink>
      <w:r w:rsidRPr="0031395E">
        <w:t xml:space="preserve"> awarded $12.9 million to expand Harper College’s Advanced Manufacturing Degree and Training program to schools across Illinois, including many of the region’s community colleges.  </w:t>
      </w:r>
    </w:p>
    <w:p w:rsidR="00114985" w:rsidRDefault="00DD6272" w:rsidP="00FB2DE4">
      <w:pPr>
        <w:pStyle w:val="ListParagraph"/>
        <w:numPr>
          <w:ilvl w:val="0"/>
          <w:numId w:val="6"/>
        </w:numPr>
      </w:pPr>
      <w:r w:rsidRPr="0031395E">
        <w:t xml:space="preserve">The </w:t>
      </w:r>
      <w:hyperlink r:id="rId15" w:history="1">
        <w:r w:rsidRPr="0031395E">
          <w:rPr>
            <w:rStyle w:val="Hyperlink"/>
          </w:rPr>
          <w:t>Manufacturing Careers Internship Program</w:t>
        </w:r>
      </w:hyperlink>
      <w:r w:rsidRPr="0031395E">
        <w:t>, a partnership between education, workforce, and business, exposes young adults to careers in manufacturing.  Recently</w:t>
      </w:r>
      <w:r w:rsidR="00EE4EB2">
        <w:t>,</w:t>
      </w:r>
      <w:r w:rsidRPr="0031395E">
        <w:t xml:space="preserve"> the program has expanded to offer more opportunities for young adults to take part in internships and apprenticeship programs.</w:t>
      </w:r>
    </w:p>
    <w:p w:rsidR="00CD6BF8" w:rsidRDefault="00CD6BF8" w:rsidP="00FB2DE4">
      <w:pPr>
        <w:pStyle w:val="ListParagraph"/>
        <w:numPr>
          <w:ilvl w:val="0"/>
          <w:numId w:val="6"/>
        </w:numPr>
      </w:pPr>
      <w:r>
        <w:t xml:space="preserve">The U.S. Department of Labor awarded $19.4 million to the Illinois Green Economy Network’s </w:t>
      </w:r>
      <w:hyperlink r:id="rId16" w:history="1">
        <w:r w:rsidRPr="00CD6BF8">
          <w:rPr>
            <w:rStyle w:val="Hyperlink"/>
          </w:rPr>
          <w:t>Career Pathways Consortium</w:t>
        </w:r>
      </w:hyperlink>
      <w:r>
        <w:t xml:space="preserve"> to support new certificate and degree programs focused on green careers at Illinois community colleges. </w:t>
      </w:r>
    </w:p>
    <w:p w:rsidR="00CD6BF8" w:rsidRDefault="00CD6BF8" w:rsidP="00FB2DE4">
      <w:pPr>
        <w:pStyle w:val="ListParagraph"/>
        <w:numPr>
          <w:ilvl w:val="0"/>
          <w:numId w:val="6"/>
        </w:numPr>
      </w:pPr>
      <w:r>
        <w:t xml:space="preserve">The City Colleges of Chicago initiated the </w:t>
      </w:r>
      <w:hyperlink r:id="rId17" w:history="1">
        <w:r w:rsidRPr="00CD6BF8">
          <w:rPr>
            <w:rStyle w:val="Hyperlink"/>
          </w:rPr>
          <w:t>College to Careers Program</w:t>
        </w:r>
      </w:hyperlink>
      <w:r>
        <w:t xml:space="preserve"> to better connect the colleges’ curricula with job training and employment opportunities</w:t>
      </w:r>
      <w:r w:rsidR="00D524FA">
        <w:t xml:space="preserve"> in key industry clusters such as freight, manufacturing, and health care</w:t>
      </w:r>
      <w:r>
        <w:t>.</w:t>
      </w:r>
    </w:p>
    <w:p w:rsidR="00C81F2F" w:rsidRDefault="00C81F2F" w:rsidP="00FB2DE4">
      <w:pPr>
        <w:pStyle w:val="ListParagraph"/>
        <w:numPr>
          <w:ilvl w:val="0"/>
          <w:numId w:val="6"/>
        </w:numPr>
      </w:pPr>
      <w:r>
        <w:t xml:space="preserve">The Calumet Green Manufacturing Partnership was launched in 2010 and is expanding to include additional partners and serve more job seekers and employers. The program is </w:t>
      </w:r>
      <w:proofErr w:type="gramStart"/>
      <w:r>
        <w:t>a collaboration</w:t>
      </w:r>
      <w:proofErr w:type="gramEnd"/>
      <w:r>
        <w:t xml:space="preserve"> between three community colleges, local government, community</w:t>
      </w:r>
      <w:r w:rsidR="00941F4F">
        <w:t>-</w:t>
      </w:r>
      <w:r>
        <w:t xml:space="preserve">based organizations, and the business community. </w:t>
      </w:r>
    </w:p>
    <w:p w:rsidR="00EA6049" w:rsidRDefault="00EA6049" w:rsidP="00FB2DE4">
      <w:pPr>
        <w:rPr>
          <w:b/>
          <w:szCs w:val="22"/>
        </w:rPr>
      </w:pPr>
    </w:p>
    <w:p w:rsidR="00EA6049" w:rsidRPr="0031395E" w:rsidRDefault="00EA6049" w:rsidP="00FB2DE4">
      <w:r>
        <w:rPr>
          <w:b/>
          <w:szCs w:val="22"/>
        </w:rPr>
        <w:t>Rationale for Retain/</w:t>
      </w:r>
      <w:r w:rsidR="008869A5">
        <w:rPr>
          <w:b/>
          <w:szCs w:val="22"/>
        </w:rPr>
        <w:t>Revise/Complete/Delete</w:t>
      </w:r>
      <w:r>
        <w:rPr>
          <w:b/>
          <w:szCs w:val="22"/>
        </w:rPr>
        <w:t xml:space="preserve"> Assessment:</w:t>
      </w:r>
    </w:p>
    <w:p w:rsidR="008869A5" w:rsidRPr="002F3B85" w:rsidRDefault="008869A5" w:rsidP="002F3B85">
      <w:pPr>
        <w:pStyle w:val="ListParagraph"/>
        <w:numPr>
          <w:ilvl w:val="0"/>
          <w:numId w:val="14"/>
        </w:numPr>
        <w:rPr>
          <w:rFonts w:cs="Arial"/>
        </w:rPr>
      </w:pPr>
      <w:r w:rsidRPr="002F3B85">
        <w:rPr>
          <w:rFonts w:cs="Arial"/>
        </w:rPr>
        <w:t>CWIC was merged with the Cook WIB and the Critical Skills Initiative is no longer active.</w:t>
      </w:r>
      <w:r w:rsidR="00FD1AB7" w:rsidRPr="002F3B85">
        <w:rPr>
          <w:rFonts w:cs="Arial"/>
        </w:rPr>
        <w:t xml:space="preserve"> </w:t>
      </w:r>
      <w:r w:rsidR="002A3D91">
        <w:rPr>
          <w:rFonts w:cs="Arial"/>
        </w:rPr>
        <w:t xml:space="preserve"> </w:t>
      </w:r>
      <w:r w:rsidR="002F3B85">
        <w:rPr>
          <w:rFonts w:cs="Arial"/>
        </w:rPr>
        <w:t>Revised to remove specific programmatic references and focus on specific objectives.  Also reflects need for partnership with private sector to inform program development.</w:t>
      </w:r>
      <w:r w:rsidR="00FD1AB7" w:rsidRPr="002F3B85">
        <w:rPr>
          <w:rFonts w:cs="Arial"/>
        </w:rPr>
        <w:t xml:space="preserve"> </w:t>
      </w:r>
      <w:r w:rsidRPr="002F3B85">
        <w:rPr>
          <w:rFonts w:cs="Arial"/>
        </w:rPr>
        <w:br w:type="page"/>
      </w:r>
    </w:p>
    <w:p w:rsidR="00E4495A" w:rsidRDefault="00E4495A" w:rsidP="00B315E7">
      <w:pPr>
        <w:rPr>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8"/>
        <w:gridCol w:w="1710"/>
        <w:gridCol w:w="3510"/>
        <w:gridCol w:w="1980"/>
      </w:tblGrid>
      <w:tr w:rsidR="00EA6049" w:rsidRPr="00877A9E" w:rsidTr="00707205">
        <w:tc>
          <w:tcPr>
            <w:tcW w:w="2538" w:type="dxa"/>
          </w:tcPr>
          <w:p w:rsidR="00EA6049" w:rsidRPr="00877A9E" w:rsidRDefault="00EA6049" w:rsidP="00FB2DE4">
            <w:pPr>
              <w:rPr>
                <w:rFonts w:cs="Arial"/>
                <w:b/>
                <w:szCs w:val="22"/>
              </w:rPr>
            </w:pPr>
            <w:r w:rsidRPr="00877A9E">
              <w:rPr>
                <w:rFonts w:cs="Arial"/>
                <w:b/>
                <w:szCs w:val="22"/>
              </w:rPr>
              <w:t>Action</w:t>
            </w:r>
          </w:p>
        </w:tc>
        <w:tc>
          <w:tcPr>
            <w:tcW w:w="1710" w:type="dxa"/>
          </w:tcPr>
          <w:p w:rsidR="00EA6049" w:rsidRPr="00877A9E" w:rsidRDefault="00EA6049" w:rsidP="00B315E7">
            <w:pPr>
              <w:rPr>
                <w:rFonts w:cs="Arial"/>
                <w:b/>
                <w:szCs w:val="22"/>
              </w:rPr>
            </w:pPr>
            <w:r w:rsidRPr="00877A9E">
              <w:rPr>
                <w:rFonts w:cs="Arial"/>
                <w:b/>
                <w:szCs w:val="22"/>
              </w:rPr>
              <w:t>Lead Implementers</w:t>
            </w:r>
          </w:p>
        </w:tc>
        <w:tc>
          <w:tcPr>
            <w:tcW w:w="3510" w:type="dxa"/>
          </w:tcPr>
          <w:p w:rsidR="00EA6049" w:rsidRPr="00877A9E" w:rsidRDefault="00EA6049" w:rsidP="00B315E7">
            <w:pPr>
              <w:rPr>
                <w:rFonts w:cs="Arial"/>
                <w:b/>
                <w:szCs w:val="22"/>
              </w:rPr>
            </w:pPr>
            <w:r w:rsidRPr="00877A9E">
              <w:rPr>
                <w:rFonts w:cs="Arial"/>
                <w:b/>
                <w:szCs w:val="22"/>
              </w:rPr>
              <w:t>Specifics</w:t>
            </w:r>
          </w:p>
        </w:tc>
        <w:tc>
          <w:tcPr>
            <w:tcW w:w="1980" w:type="dxa"/>
          </w:tcPr>
          <w:p w:rsidR="00EA6049" w:rsidRDefault="00EA6049" w:rsidP="00B315E7">
            <w:pPr>
              <w:rPr>
                <w:rFonts w:cs="Arial"/>
                <w:b/>
                <w:szCs w:val="22"/>
              </w:rPr>
            </w:pPr>
            <w:r>
              <w:rPr>
                <w:rFonts w:cs="Arial"/>
                <w:b/>
                <w:szCs w:val="22"/>
              </w:rPr>
              <w:t>Retain/Revise/</w:t>
            </w:r>
          </w:p>
          <w:p w:rsidR="00EA6049" w:rsidRPr="00877A9E" w:rsidRDefault="008869A5" w:rsidP="00B315E7">
            <w:pPr>
              <w:rPr>
                <w:rFonts w:cs="Arial"/>
                <w:b/>
                <w:szCs w:val="22"/>
              </w:rPr>
            </w:pPr>
            <w:r>
              <w:rPr>
                <w:rFonts w:cs="Arial"/>
                <w:b/>
                <w:szCs w:val="22"/>
              </w:rPr>
              <w:t>Complete/</w:t>
            </w:r>
            <w:r w:rsidR="00EA6049">
              <w:rPr>
                <w:rFonts w:cs="Arial"/>
                <w:b/>
                <w:szCs w:val="22"/>
              </w:rPr>
              <w:t>Delete</w:t>
            </w:r>
          </w:p>
        </w:tc>
      </w:tr>
      <w:tr w:rsidR="00EA6049" w:rsidRPr="00877A9E" w:rsidTr="00707205">
        <w:tc>
          <w:tcPr>
            <w:tcW w:w="2538" w:type="dxa"/>
          </w:tcPr>
          <w:p w:rsidR="00EA6049" w:rsidRPr="00877A9E" w:rsidRDefault="00EA6049" w:rsidP="002F3B85">
            <w:pPr>
              <w:rPr>
                <w:rFonts w:cs="Arial"/>
                <w:szCs w:val="22"/>
              </w:rPr>
            </w:pPr>
            <w:r w:rsidRPr="00877A9E">
              <w:rPr>
                <w:rFonts w:cs="Arial"/>
                <w:szCs w:val="22"/>
              </w:rPr>
              <w:t>Strengthen role of workforce intermediaries -- including community colleges,</w:t>
            </w:r>
            <w:r w:rsidRPr="00877A9E">
              <w:rPr>
                <w:szCs w:val="22"/>
              </w:rPr>
              <w:t xml:space="preserve"> </w:t>
            </w:r>
            <w:r w:rsidRPr="00877A9E">
              <w:rPr>
                <w:rFonts w:cs="Arial"/>
                <w:szCs w:val="22"/>
              </w:rPr>
              <w:t>universities, proprietary schools, universities, apprenticeship programs, vocational programs, community based organizations, Workforce Investment Boards and Workforce Investment Act affiliates</w:t>
            </w:r>
          </w:p>
        </w:tc>
        <w:tc>
          <w:tcPr>
            <w:tcW w:w="1710" w:type="dxa"/>
          </w:tcPr>
          <w:p w:rsidR="00EA6049" w:rsidRPr="00877A9E" w:rsidRDefault="00EA6049" w:rsidP="00B315E7">
            <w:pPr>
              <w:rPr>
                <w:rFonts w:cs="Arial"/>
                <w:szCs w:val="22"/>
              </w:rPr>
            </w:pPr>
            <w:r w:rsidRPr="00877A9E">
              <w:rPr>
                <w:rFonts w:cs="Arial"/>
                <w:szCs w:val="22"/>
              </w:rPr>
              <w:t>Community colleges, nonprofits, other education, workforce and economic development groups</w:t>
            </w:r>
          </w:p>
        </w:tc>
        <w:tc>
          <w:tcPr>
            <w:tcW w:w="3510" w:type="dxa"/>
          </w:tcPr>
          <w:p w:rsidR="00EA6049" w:rsidRPr="00877A9E" w:rsidRDefault="00EA6049" w:rsidP="00AB2728">
            <w:pPr>
              <w:rPr>
                <w:rFonts w:cs="Arial"/>
                <w:szCs w:val="22"/>
              </w:rPr>
            </w:pPr>
            <w:r w:rsidRPr="00877A9E">
              <w:rPr>
                <w:rFonts w:cs="Arial"/>
                <w:szCs w:val="22"/>
              </w:rPr>
              <w:t>Expand programs that have succeeded at individual education institutions and training providers to be applied broadly across the region.  Improve communication between education institutions and training providers through regional forums that also involve economic development groups.  Increase the profile of workforce intermediaries as a critical link in the education and workforce development system.</w:t>
            </w:r>
          </w:p>
        </w:tc>
        <w:tc>
          <w:tcPr>
            <w:tcW w:w="1980" w:type="dxa"/>
          </w:tcPr>
          <w:p w:rsidR="00EA6049" w:rsidRPr="00877A9E" w:rsidRDefault="003B068C" w:rsidP="00B315E7">
            <w:pPr>
              <w:rPr>
                <w:rFonts w:cs="Arial"/>
                <w:szCs w:val="22"/>
              </w:rPr>
            </w:pPr>
            <w:r>
              <w:rPr>
                <w:rFonts w:cs="Arial"/>
                <w:szCs w:val="22"/>
              </w:rPr>
              <w:t>Retain</w:t>
            </w:r>
          </w:p>
        </w:tc>
      </w:tr>
    </w:tbl>
    <w:p w:rsidR="00E4495A" w:rsidRDefault="00E4495A" w:rsidP="00FB2DE4">
      <w:pPr>
        <w:rPr>
          <w:b/>
          <w:szCs w:val="22"/>
        </w:rPr>
      </w:pPr>
    </w:p>
    <w:p w:rsidR="00114985" w:rsidRDefault="00114985" w:rsidP="00B315E7">
      <w:pPr>
        <w:rPr>
          <w:b/>
          <w:szCs w:val="22"/>
        </w:rPr>
      </w:pPr>
      <w:r w:rsidRPr="00877A9E">
        <w:rPr>
          <w:b/>
          <w:szCs w:val="22"/>
        </w:rPr>
        <w:t>Implementation Examples:</w:t>
      </w:r>
    </w:p>
    <w:p w:rsidR="006E5C76" w:rsidRPr="006E5C76" w:rsidRDefault="006E5C76" w:rsidP="00B315E7">
      <w:pPr>
        <w:pStyle w:val="ListParagraph"/>
        <w:numPr>
          <w:ilvl w:val="0"/>
          <w:numId w:val="3"/>
        </w:numPr>
      </w:pPr>
      <w:r w:rsidRPr="006E5C76">
        <w:t xml:space="preserve">Through the LTA program, CMAP has helped the </w:t>
      </w:r>
      <w:hyperlink r:id="rId18" w:history="1">
        <w:r w:rsidRPr="00EE4EB2">
          <w:rPr>
            <w:rStyle w:val="Hyperlink"/>
          </w:rPr>
          <w:t>Golden Corridor Manufacturing Group</w:t>
        </w:r>
      </w:hyperlink>
      <w:r w:rsidRPr="006E5C76">
        <w:t xml:space="preserve"> develop into a more structured intermediary with specific goals and objectives. </w:t>
      </w:r>
      <w:r w:rsidR="00850C0F">
        <w:t xml:space="preserve"> </w:t>
      </w:r>
      <w:r w:rsidR="00EE4EB2">
        <w:t xml:space="preserve">Comprised of </w:t>
      </w:r>
      <w:r w:rsidRPr="006E5C76">
        <w:t>employers, economic development practitioners, and education and training providers</w:t>
      </w:r>
      <w:r>
        <w:t>, the group did not have a formal structure or agenda and therefore was limited in its impact.</w:t>
      </w:r>
      <w:r w:rsidR="00EE4EB2">
        <w:t xml:space="preserve"> </w:t>
      </w:r>
      <w:r>
        <w:t xml:space="preserve"> T</w:t>
      </w:r>
      <w:r w:rsidRPr="006E5C76">
        <w:t>he group</w:t>
      </w:r>
      <w:r>
        <w:t xml:space="preserve"> is now transitioning to a more defined role and is </w:t>
      </w:r>
      <w:r w:rsidRPr="006E5C76">
        <w:t>better positioned</w:t>
      </w:r>
      <w:r>
        <w:t xml:space="preserve"> to function as an intermediary </w:t>
      </w:r>
      <w:r w:rsidR="00EE4EB2">
        <w:t>to</w:t>
      </w:r>
      <w:r w:rsidRPr="006E5C76">
        <w:t xml:space="preserve"> support the manufacturing industry. </w:t>
      </w:r>
    </w:p>
    <w:p w:rsidR="00AA7191" w:rsidRPr="006E5C76" w:rsidRDefault="00A70416" w:rsidP="00B315E7">
      <w:pPr>
        <w:pStyle w:val="ListParagraph"/>
        <w:numPr>
          <w:ilvl w:val="0"/>
          <w:numId w:val="3"/>
        </w:numPr>
      </w:pPr>
      <w:r>
        <w:t>Pooling the grant</w:t>
      </w:r>
      <w:r w:rsidR="00FD1AB7">
        <w:t xml:space="preserve"> </w:t>
      </w:r>
      <w:r>
        <w:t xml:space="preserve">resources </w:t>
      </w:r>
      <w:r w:rsidR="008451C9">
        <w:t>of nine foundations, t</w:t>
      </w:r>
      <w:r w:rsidR="00AA7191" w:rsidRPr="006E5C76">
        <w:t xml:space="preserve">he newly formed </w:t>
      </w:r>
      <w:hyperlink r:id="rId19" w:history="1">
        <w:r w:rsidR="00AA7191" w:rsidRPr="00010E01">
          <w:rPr>
            <w:rStyle w:val="Hyperlink"/>
          </w:rPr>
          <w:t>Chicagoland Workforce Funders Alliance</w:t>
        </w:r>
      </w:hyperlink>
      <w:r w:rsidR="008451C9">
        <w:t xml:space="preserve"> </w:t>
      </w:r>
      <w:r>
        <w:t>will target its grant</w:t>
      </w:r>
      <w:r w:rsidR="00FD1AB7">
        <w:t>-</w:t>
      </w:r>
      <w:r>
        <w:t>making</w:t>
      </w:r>
      <w:r w:rsidR="00FD1AB7">
        <w:t xml:space="preserve"> to industrial sectors</w:t>
      </w:r>
      <w:r>
        <w:t>. The</w:t>
      </w:r>
      <w:r w:rsidR="00AA7191" w:rsidRPr="006E5C76">
        <w:t xml:space="preserve"> first</w:t>
      </w:r>
      <w:r>
        <w:t xml:space="preserve"> round</w:t>
      </w:r>
      <w:r w:rsidR="00AA7191" w:rsidRPr="006E5C76">
        <w:t xml:space="preserve"> grant </w:t>
      </w:r>
      <w:r>
        <w:t>will support an</w:t>
      </w:r>
      <w:r w:rsidR="00AA7191" w:rsidRPr="006E5C76">
        <w:t xml:space="preserve"> intermediary for manufacturing. </w:t>
      </w:r>
      <w:r w:rsidR="00850C0F">
        <w:t xml:space="preserve"> </w:t>
      </w:r>
      <w:r w:rsidR="00010E01">
        <w:t>Chosen through an open request for proposals</w:t>
      </w:r>
      <w:r w:rsidR="00AA7191" w:rsidRPr="006E5C76">
        <w:t>, a partnership between Illinois Manufacturing Excellence Center (IMEC), Manufacturing Works, and the Chicago Manufacturing Renaissance Council will connect employers, education</w:t>
      </w:r>
      <w:r w:rsidR="00010E01">
        <w:t>al</w:t>
      </w:r>
      <w:r w:rsidR="00AA7191" w:rsidRPr="006E5C76">
        <w:t xml:space="preserve"> institutions, training providers, and </w:t>
      </w:r>
      <w:r>
        <w:t xml:space="preserve">coordinate </w:t>
      </w:r>
      <w:r w:rsidR="00AA7191" w:rsidRPr="006E5C76">
        <w:t xml:space="preserve">economic development initiatives. </w:t>
      </w:r>
    </w:p>
    <w:p w:rsidR="006E5C76" w:rsidRDefault="00AA7191" w:rsidP="00B315E7">
      <w:pPr>
        <w:pStyle w:val="ListParagraph"/>
        <w:numPr>
          <w:ilvl w:val="0"/>
          <w:numId w:val="3"/>
        </w:numPr>
      </w:pPr>
      <w:r w:rsidRPr="006E5C76">
        <w:t xml:space="preserve">The </w:t>
      </w:r>
      <w:hyperlink r:id="rId20" w:history="1">
        <w:r w:rsidR="00EB2270">
          <w:rPr>
            <w:rStyle w:val="Hyperlink"/>
          </w:rPr>
          <w:t>Chicago Cook Workforce Partnership</w:t>
        </w:r>
      </w:hyperlink>
      <w:r w:rsidRPr="006E5C76">
        <w:t xml:space="preserve"> has expanded its capacity to connect to industry leaders and employers th</w:t>
      </w:r>
      <w:r w:rsidR="00C46F06">
        <w:t>r</w:t>
      </w:r>
      <w:r w:rsidRPr="006E5C76">
        <w:t xml:space="preserve">ough its new Business Relations division. </w:t>
      </w:r>
      <w:r w:rsidR="00912C8B">
        <w:t xml:space="preserve"> </w:t>
      </w:r>
      <w:r w:rsidRPr="006E5C76">
        <w:t xml:space="preserve">Several staff </w:t>
      </w:r>
      <w:proofErr w:type="gramStart"/>
      <w:r w:rsidRPr="006E5C76">
        <w:t>have</w:t>
      </w:r>
      <w:proofErr w:type="gramEnd"/>
      <w:r w:rsidRPr="006E5C76">
        <w:t xml:space="preserve"> been hired to serve as </w:t>
      </w:r>
      <w:r w:rsidR="00A70416">
        <w:t>liaisons to specific industries</w:t>
      </w:r>
      <w:r w:rsidR="00C46F06">
        <w:t xml:space="preserve">.  </w:t>
      </w:r>
      <w:proofErr w:type="gramStart"/>
      <w:r w:rsidR="00C46F06">
        <w:t xml:space="preserve">These staff </w:t>
      </w:r>
      <w:r w:rsidR="00A70416">
        <w:t>work</w:t>
      </w:r>
      <w:proofErr w:type="gramEnd"/>
      <w:r w:rsidR="00A70416">
        <w:t xml:space="preserve"> directly with </w:t>
      </w:r>
      <w:r w:rsidRPr="006E5C76">
        <w:t>employers</w:t>
      </w:r>
      <w:r w:rsidR="00A70416">
        <w:t xml:space="preserve"> to </w:t>
      </w:r>
      <w:r w:rsidR="00A70416" w:rsidRPr="006E5C76">
        <w:t>identify</w:t>
      </w:r>
      <w:r w:rsidR="00A70416">
        <w:t xml:space="preserve"> their most pressing workforce challenges and</w:t>
      </w:r>
      <w:r w:rsidRPr="006E5C76">
        <w:t xml:space="preserve"> needs to inform the Partnerships’ programming and investment decisions. </w:t>
      </w:r>
    </w:p>
    <w:p w:rsidR="00FF1462" w:rsidRDefault="00FF1462" w:rsidP="00B315E7">
      <w:pPr>
        <w:pStyle w:val="ListParagraph"/>
        <w:numPr>
          <w:ilvl w:val="0"/>
          <w:numId w:val="3"/>
        </w:numPr>
      </w:pPr>
      <w:r>
        <w:t xml:space="preserve">Launched in 2012, </w:t>
      </w:r>
      <w:hyperlink r:id="rId21" w:history="1">
        <w:r w:rsidRPr="00FF1462">
          <w:rPr>
            <w:rStyle w:val="Hyperlink"/>
          </w:rPr>
          <w:t>Skills for Chicagoland’s Future</w:t>
        </w:r>
      </w:hyperlink>
      <w:r>
        <w:t xml:space="preserve"> is </w:t>
      </w:r>
      <w:proofErr w:type="gramStart"/>
      <w:r>
        <w:t>a collaboration</w:t>
      </w:r>
      <w:proofErr w:type="gramEnd"/>
      <w:r>
        <w:t xml:space="preserve"> between the City of Chicago and Cook County to close workforce skills gaps.</w:t>
      </w:r>
    </w:p>
    <w:p w:rsidR="00941F4F" w:rsidRDefault="00941F4F" w:rsidP="00B315E7">
      <w:pPr>
        <w:rPr>
          <w:b/>
          <w:szCs w:val="22"/>
        </w:rPr>
      </w:pPr>
    </w:p>
    <w:p w:rsidR="00EA6049" w:rsidRDefault="00EA6049" w:rsidP="00B315E7">
      <w:pPr>
        <w:rPr>
          <w:b/>
          <w:szCs w:val="22"/>
        </w:rPr>
      </w:pPr>
      <w:r>
        <w:rPr>
          <w:b/>
          <w:szCs w:val="22"/>
        </w:rPr>
        <w:t>Rationale for Retain/</w:t>
      </w:r>
      <w:r w:rsidR="008869A5">
        <w:rPr>
          <w:b/>
          <w:szCs w:val="22"/>
        </w:rPr>
        <w:t>Revise/Complete/Delete</w:t>
      </w:r>
      <w:r>
        <w:rPr>
          <w:b/>
          <w:szCs w:val="22"/>
        </w:rPr>
        <w:t xml:space="preserve"> Assessment:</w:t>
      </w:r>
    </w:p>
    <w:p w:rsidR="005D4D99" w:rsidRPr="00EE4EB2" w:rsidRDefault="00AB2728" w:rsidP="00B315E7">
      <w:pPr>
        <w:pStyle w:val="ListParagraph"/>
        <w:numPr>
          <w:ilvl w:val="0"/>
          <w:numId w:val="15"/>
        </w:numPr>
      </w:pPr>
      <w:r>
        <w:rPr>
          <w:rFonts w:cs="Arial"/>
        </w:rPr>
        <w:t>This</w:t>
      </w:r>
      <w:r w:rsidR="002A3D91">
        <w:rPr>
          <w:rFonts w:cs="Arial"/>
        </w:rPr>
        <w:t xml:space="preserve"> action</w:t>
      </w:r>
      <w:r>
        <w:rPr>
          <w:rFonts w:cs="Arial"/>
        </w:rPr>
        <w:t xml:space="preserve"> remains a priority</w:t>
      </w:r>
      <w:r w:rsidR="002A3D91">
        <w:rPr>
          <w:rFonts w:cs="Arial"/>
        </w:rPr>
        <w:t xml:space="preserve"> for CMAP and the region</w:t>
      </w:r>
      <w:r>
        <w:rPr>
          <w:rFonts w:cs="Arial"/>
        </w:rPr>
        <w:t>.</w:t>
      </w:r>
    </w:p>
    <w:p w:rsidR="00EE4EB2" w:rsidRDefault="00EE4EB2" w:rsidP="00EE4EB2"/>
    <w:p w:rsidR="00204D45" w:rsidRPr="002117D9" w:rsidRDefault="00204D45" w:rsidP="00EE4EB2"/>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1710"/>
        <w:gridCol w:w="4140"/>
        <w:gridCol w:w="2070"/>
      </w:tblGrid>
      <w:tr w:rsidR="00EA6049" w:rsidRPr="00877A9E" w:rsidTr="00707205">
        <w:tc>
          <w:tcPr>
            <w:tcW w:w="1998" w:type="dxa"/>
          </w:tcPr>
          <w:p w:rsidR="00EA6049" w:rsidRPr="00877A9E" w:rsidRDefault="00EA6049" w:rsidP="00B315E7">
            <w:pPr>
              <w:rPr>
                <w:rFonts w:cs="Arial"/>
                <w:b/>
                <w:szCs w:val="22"/>
              </w:rPr>
            </w:pPr>
            <w:r w:rsidRPr="00877A9E">
              <w:rPr>
                <w:rFonts w:cs="Arial"/>
                <w:b/>
                <w:szCs w:val="22"/>
              </w:rPr>
              <w:lastRenderedPageBreak/>
              <w:t>Action</w:t>
            </w:r>
          </w:p>
        </w:tc>
        <w:tc>
          <w:tcPr>
            <w:tcW w:w="1710" w:type="dxa"/>
          </w:tcPr>
          <w:p w:rsidR="00EA6049" w:rsidRPr="00877A9E" w:rsidRDefault="00EA6049" w:rsidP="00B315E7">
            <w:pPr>
              <w:rPr>
                <w:rFonts w:cs="Arial"/>
                <w:b/>
                <w:szCs w:val="22"/>
              </w:rPr>
            </w:pPr>
            <w:r w:rsidRPr="00877A9E">
              <w:rPr>
                <w:rFonts w:cs="Arial"/>
                <w:b/>
                <w:szCs w:val="22"/>
              </w:rPr>
              <w:t>Lead Implementers</w:t>
            </w:r>
          </w:p>
        </w:tc>
        <w:tc>
          <w:tcPr>
            <w:tcW w:w="4140" w:type="dxa"/>
          </w:tcPr>
          <w:p w:rsidR="00EA6049" w:rsidRPr="00877A9E" w:rsidRDefault="00EA6049" w:rsidP="00B315E7">
            <w:pPr>
              <w:rPr>
                <w:rFonts w:cs="Arial"/>
                <w:b/>
                <w:szCs w:val="22"/>
              </w:rPr>
            </w:pPr>
            <w:r w:rsidRPr="00877A9E">
              <w:rPr>
                <w:rFonts w:cs="Arial"/>
                <w:b/>
                <w:szCs w:val="22"/>
              </w:rPr>
              <w:t>Specifics</w:t>
            </w:r>
          </w:p>
        </w:tc>
        <w:tc>
          <w:tcPr>
            <w:tcW w:w="2070" w:type="dxa"/>
          </w:tcPr>
          <w:p w:rsidR="00EA6049" w:rsidRDefault="00EA6049" w:rsidP="00B315E7">
            <w:pPr>
              <w:rPr>
                <w:rFonts w:cs="Arial"/>
                <w:b/>
                <w:szCs w:val="22"/>
              </w:rPr>
            </w:pPr>
            <w:r>
              <w:rPr>
                <w:rFonts w:cs="Arial"/>
                <w:b/>
                <w:szCs w:val="22"/>
              </w:rPr>
              <w:t>Retain/Revise/</w:t>
            </w:r>
          </w:p>
          <w:p w:rsidR="00EA6049" w:rsidRPr="00877A9E" w:rsidRDefault="002117D9" w:rsidP="00B315E7">
            <w:pPr>
              <w:rPr>
                <w:rFonts w:cs="Arial"/>
                <w:b/>
                <w:szCs w:val="22"/>
              </w:rPr>
            </w:pPr>
            <w:r>
              <w:rPr>
                <w:rFonts w:cs="Arial"/>
                <w:b/>
                <w:szCs w:val="22"/>
              </w:rPr>
              <w:t>Complete/</w:t>
            </w:r>
            <w:r w:rsidR="00EA6049">
              <w:rPr>
                <w:rFonts w:cs="Arial"/>
                <w:b/>
                <w:szCs w:val="22"/>
              </w:rPr>
              <w:t>Delete</w:t>
            </w:r>
          </w:p>
        </w:tc>
      </w:tr>
      <w:tr w:rsidR="00EA6049" w:rsidRPr="00877A9E" w:rsidTr="00707205">
        <w:tc>
          <w:tcPr>
            <w:tcW w:w="1998" w:type="dxa"/>
          </w:tcPr>
          <w:p w:rsidR="00EA6049" w:rsidRPr="00877A9E" w:rsidRDefault="00EA6049" w:rsidP="00FB2DE4">
            <w:pPr>
              <w:rPr>
                <w:rFonts w:cs="Arial"/>
                <w:szCs w:val="22"/>
              </w:rPr>
            </w:pPr>
            <w:r w:rsidRPr="00877A9E">
              <w:rPr>
                <w:rFonts w:cs="Arial"/>
                <w:szCs w:val="22"/>
              </w:rPr>
              <w:t>Collect, compile, and publicize career pathways analyses</w:t>
            </w:r>
          </w:p>
        </w:tc>
        <w:tc>
          <w:tcPr>
            <w:tcW w:w="1710" w:type="dxa"/>
          </w:tcPr>
          <w:p w:rsidR="00EA6049" w:rsidRPr="00877A9E" w:rsidRDefault="00386C60" w:rsidP="00B315E7">
            <w:pPr>
              <w:rPr>
                <w:rFonts w:cs="Arial"/>
                <w:szCs w:val="22"/>
              </w:rPr>
            </w:pPr>
            <w:r>
              <w:rPr>
                <w:rFonts w:cs="Arial"/>
                <w:szCs w:val="22"/>
              </w:rPr>
              <w:t>State</w:t>
            </w:r>
            <w:r w:rsidR="000020EA">
              <w:rPr>
                <w:rFonts w:cs="Arial"/>
                <w:szCs w:val="22"/>
              </w:rPr>
              <w:t xml:space="preserve"> (DCEO, ISBE, ICCB</w:t>
            </w:r>
            <w:r w:rsidR="00982728">
              <w:rPr>
                <w:rFonts w:cs="Arial"/>
                <w:szCs w:val="22"/>
              </w:rPr>
              <w:t>, IDES</w:t>
            </w:r>
            <w:r w:rsidR="000020EA">
              <w:rPr>
                <w:rFonts w:cs="Arial"/>
                <w:szCs w:val="22"/>
              </w:rPr>
              <w:t>)</w:t>
            </w:r>
            <w:r>
              <w:rPr>
                <w:rFonts w:cs="Arial"/>
                <w:szCs w:val="22"/>
              </w:rPr>
              <w:t xml:space="preserve">, </w:t>
            </w:r>
            <w:r w:rsidR="00EA6049" w:rsidRPr="00877A9E">
              <w:rPr>
                <w:rFonts w:cs="Arial"/>
                <w:szCs w:val="22"/>
              </w:rPr>
              <w:t>Community colleges, nonprofits, philanthropic</w:t>
            </w:r>
          </w:p>
        </w:tc>
        <w:tc>
          <w:tcPr>
            <w:tcW w:w="4140" w:type="dxa"/>
          </w:tcPr>
          <w:p w:rsidR="00EA6049" w:rsidRPr="00877A9E" w:rsidRDefault="00EA6049" w:rsidP="00723EDF">
            <w:pPr>
              <w:rPr>
                <w:rFonts w:cs="Arial"/>
                <w:szCs w:val="22"/>
              </w:rPr>
            </w:pPr>
            <w:r w:rsidRPr="00877A9E">
              <w:rPr>
                <w:rFonts w:cs="Arial"/>
                <w:szCs w:val="22"/>
              </w:rPr>
              <w:t>Identify existing analyses of career pathways, or programs of education and training that prepare students for future employment in a certain field.  Compile these and make them available to education institutions, workforce service providers, and employers.  Update this compilation frequently to reduce duplication</w:t>
            </w:r>
            <w:r w:rsidR="00386C60">
              <w:rPr>
                <w:rFonts w:cs="Arial"/>
                <w:szCs w:val="22"/>
              </w:rPr>
              <w:t xml:space="preserve">, revise based on advances in the </w:t>
            </w:r>
            <w:r w:rsidR="00723EDF">
              <w:rPr>
                <w:rFonts w:cs="Arial"/>
                <w:szCs w:val="22"/>
              </w:rPr>
              <w:t>industry</w:t>
            </w:r>
            <w:r w:rsidRPr="00877A9E">
              <w:rPr>
                <w:rFonts w:cs="Arial"/>
                <w:szCs w:val="22"/>
              </w:rPr>
              <w:t>, and prepare new career pathways to eliminate any gaps in coverage of new or expanding industries.</w:t>
            </w:r>
          </w:p>
        </w:tc>
        <w:tc>
          <w:tcPr>
            <w:tcW w:w="2070" w:type="dxa"/>
          </w:tcPr>
          <w:p w:rsidR="00EA6049" w:rsidRPr="00877A9E" w:rsidRDefault="00386C60" w:rsidP="00B315E7">
            <w:pPr>
              <w:rPr>
                <w:rFonts w:cs="Arial"/>
                <w:szCs w:val="22"/>
              </w:rPr>
            </w:pPr>
            <w:r>
              <w:rPr>
                <w:rFonts w:cs="Arial"/>
                <w:szCs w:val="22"/>
              </w:rPr>
              <w:t>Revise</w:t>
            </w:r>
          </w:p>
        </w:tc>
      </w:tr>
    </w:tbl>
    <w:p w:rsidR="00EA6049" w:rsidRDefault="00EA6049" w:rsidP="00FB2DE4">
      <w:pPr>
        <w:rPr>
          <w:b/>
          <w:szCs w:val="22"/>
        </w:rPr>
      </w:pPr>
    </w:p>
    <w:p w:rsidR="00114985" w:rsidRDefault="00114985" w:rsidP="00B315E7">
      <w:pPr>
        <w:rPr>
          <w:b/>
          <w:szCs w:val="22"/>
        </w:rPr>
      </w:pPr>
      <w:r w:rsidRPr="00877A9E">
        <w:rPr>
          <w:b/>
          <w:szCs w:val="22"/>
        </w:rPr>
        <w:t>Implementation Examples:</w:t>
      </w:r>
    </w:p>
    <w:p w:rsidR="006E5C76" w:rsidRDefault="00013265" w:rsidP="00B315E7">
      <w:pPr>
        <w:pStyle w:val="ListParagraph"/>
        <w:numPr>
          <w:ilvl w:val="0"/>
          <w:numId w:val="7"/>
        </w:numPr>
      </w:pPr>
      <w:hyperlink r:id="rId22" w:history="1">
        <w:r w:rsidR="006E5C76" w:rsidRPr="0031395E">
          <w:rPr>
            <w:rStyle w:val="Hyperlink"/>
          </w:rPr>
          <w:t>Illinois Pathways</w:t>
        </w:r>
      </w:hyperlink>
      <w:r w:rsidR="006E5C76" w:rsidRPr="0031395E">
        <w:t xml:space="preserve">, funded through </w:t>
      </w:r>
      <w:r w:rsidR="00754114">
        <w:t>the federal “</w:t>
      </w:r>
      <w:r w:rsidR="006E5C76" w:rsidRPr="0031395E">
        <w:t>Race to the Top</w:t>
      </w:r>
      <w:r w:rsidR="00754114">
        <w:t>” program</w:t>
      </w:r>
      <w:r w:rsidR="006E5C76" w:rsidRPr="0031395E">
        <w:t xml:space="preserve">, is a State of Illinois-led </w:t>
      </w:r>
      <w:r w:rsidR="00754114">
        <w:t>science, technology, engineering, and mathematics (</w:t>
      </w:r>
      <w:r w:rsidR="006E5C76" w:rsidRPr="0031395E">
        <w:t>STEM</w:t>
      </w:r>
      <w:r w:rsidR="00754114">
        <w:t>)</w:t>
      </w:r>
      <w:r w:rsidR="006E5C76" w:rsidRPr="0031395E">
        <w:t xml:space="preserve"> education initiative designed to support college and career readiness for all students. </w:t>
      </w:r>
      <w:r w:rsidR="00754114">
        <w:t xml:space="preserve"> </w:t>
      </w:r>
      <w:r w:rsidR="006E5C76" w:rsidRPr="0031395E">
        <w:t xml:space="preserve">Through </w:t>
      </w:r>
      <w:r w:rsidR="00874B61">
        <w:t xml:space="preserve">a </w:t>
      </w:r>
      <w:r w:rsidR="006E5C76" w:rsidRPr="0031395E">
        <w:t xml:space="preserve">partnership between the State of Illinois' education and economic development agencies, Illinois Pathways aims to provide resources for students to explore STEM-related academic and career opportunities. </w:t>
      </w:r>
      <w:r w:rsidR="00754114">
        <w:t xml:space="preserve"> </w:t>
      </w:r>
      <w:r w:rsidR="006E5C76" w:rsidRPr="0031395E">
        <w:t xml:space="preserve">It is also </w:t>
      </w:r>
      <w:r w:rsidR="00754114">
        <w:t xml:space="preserve">aims to </w:t>
      </w:r>
      <w:r w:rsidR="006E5C76" w:rsidRPr="0031395E">
        <w:t>creat</w:t>
      </w:r>
      <w:r w:rsidR="00754114">
        <w:t>e</w:t>
      </w:r>
      <w:r w:rsidR="006E5C76" w:rsidRPr="0031395E">
        <w:t xml:space="preserve"> new statewide public‐private partnerships known as Learning Exchanges </w:t>
      </w:r>
      <w:r w:rsidR="00754114">
        <w:t xml:space="preserve">to </w:t>
      </w:r>
      <w:r w:rsidR="006E5C76" w:rsidRPr="0031395E">
        <w:t>improve coordination of investments, resources, and planning for STEM programs.</w:t>
      </w:r>
    </w:p>
    <w:p w:rsidR="002E3099" w:rsidRDefault="0031395E" w:rsidP="00B315E7">
      <w:pPr>
        <w:pStyle w:val="ListParagraph"/>
        <w:numPr>
          <w:ilvl w:val="0"/>
          <w:numId w:val="7"/>
        </w:numPr>
      </w:pPr>
      <w:r>
        <w:t xml:space="preserve">Workforce development practitioners in the region also have access to national data and resources through </w:t>
      </w:r>
      <w:hyperlink r:id="rId23" w:history="1">
        <w:r w:rsidRPr="0031395E">
          <w:rPr>
            <w:rStyle w:val="Hyperlink"/>
          </w:rPr>
          <w:t>the Career Pathways Community of Practice</w:t>
        </w:r>
      </w:hyperlink>
      <w:r>
        <w:t>, administered by the U.S. Department of Labor’s Workforce</w:t>
      </w:r>
      <w:r w:rsidRPr="0031395E">
        <w:rPr>
          <w:vertAlign w:val="superscript"/>
        </w:rPr>
        <w:t>3</w:t>
      </w:r>
      <w:r>
        <w:t>One program.</w:t>
      </w:r>
    </w:p>
    <w:p w:rsidR="0073205B" w:rsidRPr="0031395E" w:rsidRDefault="0073205B" w:rsidP="00B315E7">
      <w:pPr>
        <w:pStyle w:val="ListParagraph"/>
        <w:numPr>
          <w:ilvl w:val="0"/>
          <w:numId w:val="7"/>
        </w:numPr>
      </w:pPr>
      <w:r>
        <w:t xml:space="preserve">Women Employed and the Chicago Jobs Council are leading the </w:t>
      </w:r>
      <w:hyperlink r:id="rId24" w:history="1">
        <w:r w:rsidRPr="0073205B">
          <w:rPr>
            <w:rStyle w:val="Hyperlink"/>
          </w:rPr>
          <w:t>Pathways to Careers Network</w:t>
        </w:r>
      </w:hyperlink>
      <w:r>
        <w:t xml:space="preserve">, which focuses on supporting education and career success among adult learners with low basic skills. </w:t>
      </w:r>
      <w:r w:rsidR="00941F4F">
        <w:t xml:space="preserve"> </w:t>
      </w:r>
      <w:r>
        <w:t xml:space="preserve">The Network provides information on programs, connects peoples with resources, and advances a policy agenda that supports adult learners. </w:t>
      </w:r>
    </w:p>
    <w:p w:rsidR="002E3099" w:rsidRDefault="002E3099" w:rsidP="00B315E7">
      <w:pPr>
        <w:rPr>
          <w:szCs w:val="22"/>
        </w:rPr>
      </w:pPr>
    </w:p>
    <w:p w:rsidR="00EA6049" w:rsidRDefault="00EA6049" w:rsidP="00B315E7">
      <w:pPr>
        <w:rPr>
          <w:szCs w:val="22"/>
        </w:rPr>
      </w:pPr>
      <w:r>
        <w:rPr>
          <w:b/>
          <w:szCs w:val="22"/>
        </w:rPr>
        <w:t>Rationale for Retain/</w:t>
      </w:r>
      <w:r w:rsidR="008869A5">
        <w:rPr>
          <w:b/>
          <w:szCs w:val="22"/>
        </w:rPr>
        <w:t>Revise/Complete/Delete</w:t>
      </w:r>
      <w:r>
        <w:rPr>
          <w:b/>
          <w:szCs w:val="22"/>
        </w:rPr>
        <w:t xml:space="preserve"> Assessment:</w:t>
      </w:r>
    </w:p>
    <w:p w:rsidR="00B6432C" w:rsidRPr="00CD6BF8" w:rsidRDefault="00AB2728" w:rsidP="00B315E7">
      <w:pPr>
        <w:pStyle w:val="ListParagraph"/>
        <w:numPr>
          <w:ilvl w:val="0"/>
          <w:numId w:val="16"/>
        </w:numPr>
        <w:rPr>
          <w:rStyle w:val="Heading3Char"/>
          <w:rFonts w:ascii="Palatino Linotype" w:hAnsi="Palatino Linotype"/>
          <w:i w:val="0"/>
        </w:rPr>
      </w:pPr>
      <w:r>
        <w:rPr>
          <w:rStyle w:val="Heading3Char"/>
          <w:rFonts w:ascii="Palatino Linotype" w:hAnsi="Palatino Linotype"/>
          <w:b w:val="0"/>
          <w:bCs w:val="0"/>
          <w:i w:val="0"/>
        </w:rPr>
        <w:t>Revised slightly to include the State as an implementer and to broaden the language.</w:t>
      </w:r>
      <w:r w:rsidR="005D4D99" w:rsidRPr="002117D9">
        <w:rPr>
          <w:rStyle w:val="Heading3Char"/>
          <w:rFonts w:ascii="Palatino Linotype" w:hAnsi="Palatino Linotype"/>
          <w:b w:val="0"/>
          <w:bCs w:val="0"/>
          <w:i w:val="0"/>
        </w:rPr>
        <w:t xml:space="preserve"> </w:t>
      </w:r>
      <w:r w:rsidR="00B6432C" w:rsidRPr="009A5063">
        <w:rPr>
          <w:rStyle w:val="Heading3Char"/>
          <w:rFonts w:ascii="Palatino Linotype" w:hAnsi="Palatino Linotype"/>
          <w:b w:val="0"/>
          <w:bCs w:val="0"/>
        </w:rPr>
        <w:br w:type="page"/>
      </w:r>
    </w:p>
    <w:p w:rsidR="00114985" w:rsidRPr="00877A9E" w:rsidRDefault="00114985" w:rsidP="00FB2DE4">
      <w:pPr>
        <w:pStyle w:val="Heading3"/>
        <w:spacing w:before="0"/>
        <w:rPr>
          <w:rFonts w:ascii="Palatino Linotype" w:hAnsi="Palatino Linotype"/>
        </w:rPr>
      </w:pPr>
      <w:r w:rsidRPr="00877A9E">
        <w:rPr>
          <w:rStyle w:val="Heading3Char"/>
          <w:rFonts w:ascii="Palatino Linotype" w:hAnsi="Palatino Linotype"/>
          <w:b/>
          <w:bCs/>
        </w:rPr>
        <w:lastRenderedPageBreak/>
        <w:t>Implementation Action Area #2: Data and Information Systems</w:t>
      </w:r>
    </w:p>
    <w:p w:rsidR="00114985" w:rsidRPr="00877A9E" w:rsidRDefault="00114985" w:rsidP="00B315E7">
      <w:pPr>
        <w:rPr>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1710"/>
        <w:gridCol w:w="3870"/>
        <w:gridCol w:w="2250"/>
      </w:tblGrid>
      <w:tr w:rsidR="00EA6049" w:rsidRPr="00877A9E" w:rsidTr="00EA6049">
        <w:tc>
          <w:tcPr>
            <w:tcW w:w="2088" w:type="dxa"/>
          </w:tcPr>
          <w:p w:rsidR="00EA6049" w:rsidRPr="00877A9E" w:rsidRDefault="00EA6049" w:rsidP="00B315E7">
            <w:pPr>
              <w:rPr>
                <w:rFonts w:cs="Arial"/>
                <w:b/>
                <w:szCs w:val="22"/>
              </w:rPr>
            </w:pPr>
            <w:r w:rsidRPr="00877A9E">
              <w:rPr>
                <w:rFonts w:cs="Arial"/>
                <w:b/>
                <w:szCs w:val="22"/>
              </w:rPr>
              <w:t>Action</w:t>
            </w:r>
          </w:p>
        </w:tc>
        <w:tc>
          <w:tcPr>
            <w:tcW w:w="1710" w:type="dxa"/>
          </w:tcPr>
          <w:p w:rsidR="00EA6049" w:rsidRPr="00877A9E" w:rsidRDefault="00EA6049" w:rsidP="00B315E7">
            <w:pPr>
              <w:rPr>
                <w:rFonts w:cs="Arial"/>
                <w:b/>
                <w:szCs w:val="22"/>
              </w:rPr>
            </w:pPr>
            <w:r w:rsidRPr="00877A9E">
              <w:rPr>
                <w:rFonts w:cs="Arial"/>
                <w:b/>
                <w:szCs w:val="22"/>
              </w:rPr>
              <w:t>Lead Implementers</w:t>
            </w:r>
          </w:p>
        </w:tc>
        <w:tc>
          <w:tcPr>
            <w:tcW w:w="3870" w:type="dxa"/>
          </w:tcPr>
          <w:p w:rsidR="00EA6049" w:rsidRPr="00877A9E" w:rsidRDefault="00EA6049" w:rsidP="00B315E7">
            <w:pPr>
              <w:rPr>
                <w:rFonts w:cs="Arial"/>
                <w:b/>
                <w:szCs w:val="22"/>
              </w:rPr>
            </w:pPr>
            <w:r w:rsidRPr="00877A9E">
              <w:rPr>
                <w:rFonts w:cs="Arial"/>
                <w:b/>
                <w:szCs w:val="22"/>
              </w:rPr>
              <w:t>Specifics</w:t>
            </w:r>
          </w:p>
        </w:tc>
        <w:tc>
          <w:tcPr>
            <w:tcW w:w="2250" w:type="dxa"/>
          </w:tcPr>
          <w:p w:rsidR="00EA6049" w:rsidRDefault="00EA6049" w:rsidP="00B315E7">
            <w:pPr>
              <w:rPr>
                <w:rFonts w:cs="Arial"/>
                <w:b/>
                <w:szCs w:val="22"/>
              </w:rPr>
            </w:pPr>
            <w:r>
              <w:rPr>
                <w:rFonts w:cs="Arial"/>
                <w:b/>
                <w:szCs w:val="22"/>
              </w:rPr>
              <w:t>Retain/Revise</w:t>
            </w:r>
          </w:p>
          <w:p w:rsidR="00EA6049" w:rsidRPr="00877A9E" w:rsidRDefault="002117D9" w:rsidP="00B315E7">
            <w:pPr>
              <w:rPr>
                <w:rFonts w:cs="Arial"/>
                <w:b/>
                <w:szCs w:val="22"/>
              </w:rPr>
            </w:pPr>
            <w:r>
              <w:rPr>
                <w:rFonts w:cs="Arial"/>
                <w:b/>
                <w:szCs w:val="22"/>
              </w:rPr>
              <w:t>Complete/</w:t>
            </w:r>
            <w:r w:rsidR="00EA6049">
              <w:rPr>
                <w:rFonts w:cs="Arial"/>
                <w:b/>
                <w:szCs w:val="22"/>
              </w:rPr>
              <w:t>Delete</w:t>
            </w:r>
          </w:p>
        </w:tc>
      </w:tr>
      <w:tr w:rsidR="00471964" w:rsidRPr="00877A9E" w:rsidTr="00EA6049">
        <w:tc>
          <w:tcPr>
            <w:tcW w:w="2088" w:type="dxa"/>
          </w:tcPr>
          <w:p w:rsidR="00471964" w:rsidRPr="00877A9E" w:rsidRDefault="00471964" w:rsidP="001E2ADF">
            <w:pPr>
              <w:rPr>
                <w:rFonts w:cs="Arial"/>
                <w:szCs w:val="22"/>
              </w:rPr>
            </w:pPr>
            <w:r w:rsidRPr="00877A9E">
              <w:rPr>
                <w:rFonts w:cs="Arial"/>
                <w:szCs w:val="22"/>
              </w:rPr>
              <w:t xml:space="preserve">Launch and continually improve Regional </w:t>
            </w:r>
            <w:r w:rsidR="00A86A95">
              <w:rPr>
                <w:rFonts w:cs="Arial"/>
                <w:szCs w:val="22"/>
              </w:rPr>
              <w:t xml:space="preserve">Economic and Workforce </w:t>
            </w:r>
            <w:r w:rsidRPr="00877A9E">
              <w:rPr>
                <w:rFonts w:cs="Arial"/>
                <w:szCs w:val="22"/>
              </w:rPr>
              <w:t xml:space="preserve">Indicators </w:t>
            </w:r>
          </w:p>
        </w:tc>
        <w:tc>
          <w:tcPr>
            <w:tcW w:w="1710" w:type="dxa"/>
          </w:tcPr>
          <w:p w:rsidR="00471964" w:rsidRPr="00877A9E" w:rsidRDefault="00471964" w:rsidP="00A86A95">
            <w:pPr>
              <w:rPr>
                <w:rFonts w:cs="Arial"/>
                <w:szCs w:val="22"/>
              </w:rPr>
            </w:pPr>
            <w:r w:rsidRPr="00877A9E">
              <w:rPr>
                <w:rFonts w:cs="Arial"/>
                <w:szCs w:val="22"/>
              </w:rPr>
              <w:t xml:space="preserve">CMAP </w:t>
            </w:r>
          </w:p>
        </w:tc>
        <w:tc>
          <w:tcPr>
            <w:tcW w:w="3870" w:type="dxa"/>
          </w:tcPr>
          <w:p w:rsidR="00471964" w:rsidRPr="00877A9E" w:rsidRDefault="00DB4988" w:rsidP="002A3D91">
            <w:pPr>
              <w:rPr>
                <w:rFonts w:cs="Arial"/>
                <w:szCs w:val="22"/>
              </w:rPr>
            </w:pPr>
            <w:r>
              <w:rPr>
                <w:szCs w:val="22"/>
              </w:rPr>
              <w:t>Collect and analyze data on economic trends, innovation, clusters</w:t>
            </w:r>
            <w:r w:rsidR="00982728">
              <w:rPr>
                <w:szCs w:val="22"/>
              </w:rPr>
              <w:t>,</w:t>
            </w:r>
            <w:r>
              <w:rPr>
                <w:szCs w:val="22"/>
              </w:rPr>
              <w:t xml:space="preserve"> and workforce.  This data and information </w:t>
            </w:r>
            <w:r w:rsidR="001E2ADF">
              <w:rPr>
                <w:szCs w:val="22"/>
              </w:rPr>
              <w:t>should</w:t>
            </w:r>
            <w:r>
              <w:rPr>
                <w:szCs w:val="22"/>
              </w:rPr>
              <w:t xml:space="preserve"> be housed at CMAP and disseminated via the CMAP website. </w:t>
            </w:r>
            <w:r w:rsidR="00090B5F">
              <w:rPr>
                <w:szCs w:val="22"/>
              </w:rPr>
              <w:t xml:space="preserve">The site will illustrate metrics and include </w:t>
            </w:r>
            <w:r w:rsidR="00906839">
              <w:rPr>
                <w:szCs w:val="22"/>
              </w:rPr>
              <w:t xml:space="preserve">in-depth </w:t>
            </w:r>
            <w:r w:rsidR="00090B5F">
              <w:rPr>
                <w:szCs w:val="22"/>
              </w:rPr>
              <w:t xml:space="preserve">analysis </w:t>
            </w:r>
            <w:r w:rsidR="00982728">
              <w:rPr>
                <w:szCs w:val="22"/>
              </w:rPr>
              <w:t xml:space="preserve">of the data </w:t>
            </w:r>
            <w:r w:rsidR="00090B5F">
              <w:rPr>
                <w:szCs w:val="22"/>
              </w:rPr>
              <w:t xml:space="preserve">and </w:t>
            </w:r>
            <w:r w:rsidR="00982728">
              <w:rPr>
                <w:szCs w:val="22"/>
              </w:rPr>
              <w:t xml:space="preserve">ongoing </w:t>
            </w:r>
            <w:r w:rsidR="00090B5F">
              <w:rPr>
                <w:szCs w:val="22"/>
              </w:rPr>
              <w:t xml:space="preserve">discussion of relevant policy issues.  </w:t>
            </w:r>
          </w:p>
        </w:tc>
        <w:tc>
          <w:tcPr>
            <w:tcW w:w="2250" w:type="dxa"/>
          </w:tcPr>
          <w:p w:rsidR="00471964" w:rsidRPr="00877A9E" w:rsidRDefault="00471964" w:rsidP="00B315E7">
            <w:pPr>
              <w:rPr>
                <w:rFonts w:cs="Arial"/>
                <w:szCs w:val="22"/>
              </w:rPr>
            </w:pPr>
            <w:r>
              <w:rPr>
                <w:rFonts w:cs="Arial"/>
                <w:szCs w:val="22"/>
              </w:rPr>
              <w:t>Revise</w:t>
            </w:r>
          </w:p>
        </w:tc>
      </w:tr>
    </w:tbl>
    <w:p w:rsidR="00EA6049" w:rsidRDefault="00EA6049" w:rsidP="00FB2DE4">
      <w:pPr>
        <w:rPr>
          <w:b/>
          <w:szCs w:val="22"/>
        </w:rPr>
      </w:pPr>
    </w:p>
    <w:p w:rsidR="00114985" w:rsidRDefault="00114985" w:rsidP="00B315E7">
      <w:pPr>
        <w:rPr>
          <w:b/>
          <w:szCs w:val="22"/>
        </w:rPr>
      </w:pPr>
      <w:r w:rsidRPr="00877A9E">
        <w:rPr>
          <w:b/>
          <w:szCs w:val="22"/>
        </w:rPr>
        <w:t>Implementation Examples:</w:t>
      </w:r>
    </w:p>
    <w:p w:rsidR="00DD7622" w:rsidRDefault="00DD7622" w:rsidP="00B315E7">
      <w:pPr>
        <w:pStyle w:val="ListParagraph"/>
        <w:numPr>
          <w:ilvl w:val="0"/>
          <w:numId w:val="7"/>
        </w:numPr>
      </w:pPr>
      <w:r>
        <w:t xml:space="preserve">CMAP released </w:t>
      </w:r>
      <w:hyperlink r:id="rId25" w:history="1">
        <w:r w:rsidRPr="0031329A">
          <w:rPr>
            <w:rStyle w:val="Hyperlink"/>
          </w:rPr>
          <w:t>MetroPulse</w:t>
        </w:r>
      </w:hyperlink>
      <w:r>
        <w:t xml:space="preserve">, the website of the Regional Indicators Project in 2010.  Since then the website has gone through several iterations.  The Chicago Metropolitan Agency for Planning (CMAP) and </w:t>
      </w:r>
      <w:r w:rsidR="00062F03">
        <w:t xml:space="preserve">The </w:t>
      </w:r>
      <w:r>
        <w:t xml:space="preserve">Chicago Community Trust remain committed partners in the collection and distribution of public data to monitor progress on the region's most important issues—principally, through the performance of the GO TO 2040 comprehensive regional plan. </w:t>
      </w:r>
    </w:p>
    <w:p w:rsidR="00DD7622" w:rsidRPr="00DD7622" w:rsidRDefault="00DD7622" w:rsidP="00B315E7">
      <w:pPr>
        <w:pStyle w:val="ListParagraph"/>
        <w:numPr>
          <w:ilvl w:val="0"/>
          <w:numId w:val="7"/>
        </w:numPr>
        <w:rPr>
          <w:b/>
        </w:rPr>
      </w:pPr>
      <w:r>
        <w:t xml:space="preserve">CMAP has already released </w:t>
      </w:r>
      <w:hyperlink r:id="rId26" w:history="1">
        <w:r w:rsidRPr="00754114">
          <w:rPr>
            <w:rStyle w:val="Hyperlink"/>
          </w:rPr>
          <w:t>Community Data Snapshot</w:t>
        </w:r>
      </w:hyperlink>
      <w:r>
        <w:t xml:space="preserve"> reports on each municipality in the region and will be releasing similar reports on the City of Chicago's 77 community areas very soon. </w:t>
      </w:r>
    </w:p>
    <w:p w:rsidR="00DD7622" w:rsidRPr="00DD7622" w:rsidRDefault="00DD7622" w:rsidP="00B315E7">
      <w:pPr>
        <w:pStyle w:val="ListParagraph"/>
        <w:numPr>
          <w:ilvl w:val="0"/>
          <w:numId w:val="7"/>
        </w:numPr>
        <w:rPr>
          <w:b/>
        </w:rPr>
      </w:pPr>
      <w:r>
        <w:t>When fully implemented, MetroPulse will include narrative analyses and visuals on indicators of significance to a broader community of users and aligned with the priorities of GO TO 2040 and The Chicago Community Trust.  To close the gap on user data needs, the site will provide categorized links to data from trusted sources selected by CMAP and The Chicago Community Trust.</w:t>
      </w:r>
    </w:p>
    <w:p w:rsidR="00EA6049" w:rsidRDefault="00EA6049" w:rsidP="00B315E7">
      <w:pPr>
        <w:rPr>
          <w:szCs w:val="22"/>
        </w:rPr>
      </w:pPr>
    </w:p>
    <w:p w:rsidR="00754114" w:rsidRDefault="00EA6049" w:rsidP="00B315E7">
      <w:pPr>
        <w:rPr>
          <w:b/>
          <w:szCs w:val="22"/>
        </w:rPr>
      </w:pPr>
      <w:r>
        <w:rPr>
          <w:b/>
          <w:szCs w:val="22"/>
        </w:rPr>
        <w:t>Rationale for Retain/</w:t>
      </w:r>
      <w:r w:rsidR="008869A5">
        <w:rPr>
          <w:b/>
          <w:szCs w:val="22"/>
        </w:rPr>
        <w:t>Revise/Complete/Delete</w:t>
      </w:r>
      <w:r>
        <w:rPr>
          <w:b/>
          <w:szCs w:val="22"/>
        </w:rPr>
        <w:t xml:space="preserve"> Assessment:</w:t>
      </w:r>
    </w:p>
    <w:p w:rsidR="00114985" w:rsidRPr="00754114" w:rsidRDefault="00E27B3E" w:rsidP="00754114">
      <w:pPr>
        <w:pStyle w:val="ListParagraph"/>
        <w:numPr>
          <w:ilvl w:val="0"/>
          <w:numId w:val="24"/>
        </w:numPr>
        <w:ind w:left="720"/>
      </w:pPr>
      <w:r>
        <w:t xml:space="preserve">Revised to reflect the development of the regional economic indicators site. </w:t>
      </w:r>
      <w:r w:rsidR="00114985" w:rsidRPr="00754114">
        <w:br w:type="page"/>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8"/>
        <w:gridCol w:w="1710"/>
        <w:gridCol w:w="3600"/>
        <w:gridCol w:w="1980"/>
      </w:tblGrid>
      <w:tr w:rsidR="00EA6049" w:rsidRPr="00877A9E" w:rsidTr="00707205">
        <w:tc>
          <w:tcPr>
            <w:tcW w:w="2538" w:type="dxa"/>
          </w:tcPr>
          <w:p w:rsidR="00EA6049" w:rsidRPr="00877A9E" w:rsidRDefault="00EA6049" w:rsidP="00B315E7">
            <w:pPr>
              <w:rPr>
                <w:rFonts w:cs="Arial"/>
                <w:b/>
                <w:szCs w:val="22"/>
              </w:rPr>
            </w:pPr>
            <w:r w:rsidRPr="00877A9E">
              <w:rPr>
                <w:rFonts w:cs="Arial"/>
                <w:b/>
                <w:szCs w:val="22"/>
              </w:rPr>
              <w:lastRenderedPageBreak/>
              <w:t>Action</w:t>
            </w:r>
          </w:p>
        </w:tc>
        <w:tc>
          <w:tcPr>
            <w:tcW w:w="1710" w:type="dxa"/>
          </w:tcPr>
          <w:p w:rsidR="00EA6049" w:rsidRPr="00877A9E" w:rsidRDefault="00EA6049" w:rsidP="00B315E7">
            <w:pPr>
              <w:rPr>
                <w:rFonts w:cs="Arial"/>
                <w:b/>
                <w:szCs w:val="22"/>
              </w:rPr>
            </w:pPr>
            <w:r w:rsidRPr="00877A9E">
              <w:rPr>
                <w:rFonts w:cs="Arial"/>
                <w:b/>
                <w:szCs w:val="22"/>
              </w:rPr>
              <w:t>Lead Implementers</w:t>
            </w:r>
          </w:p>
        </w:tc>
        <w:tc>
          <w:tcPr>
            <w:tcW w:w="3600" w:type="dxa"/>
          </w:tcPr>
          <w:p w:rsidR="00EA6049" w:rsidRPr="00877A9E" w:rsidRDefault="00EA6049" w:rsidP="00B315E7">
            <w:pPr>
              <w:rPr>
                <w:rFonts w:cs="Arial"/>
                <w:b/>
                <w:szCs w:val="22"/>
              </w:rPr>
            </w:pPr>
            <w:r w:rsidRPr="00877A9E">
              <w:rPr>
                <w:rFonts w:cs="Arial"/>
                <w:b/>
                <w:szCs w:val="22"/>
              </w:rPr>
              <w:t>Specifics</w:t>
            </w:r>
          </w:p>
        </w:tc>
        <w:tc>
          <w:tcPr>
            <w:tcW w:w="1980" w:type="dxa"/>
          </w:tcPr>
          <w:p w:rsidR="00EA6049" w:rsidRDefault="00EA6049" w:rsidP="00B315E7">
            <w:pPr>
              <w:rPr>
                <w:rFonts w:cs="Arial"/>
                <w:b/>
                <w:szCs w:val="22"/>
              </w:rPr>
            </w:pPr>
            <w:r>
              <w:rPr>
                <w:rFonts w:cs="Arial"/>
                <w:b/>
                <w:szCs w:val="22"/>
              </w:rPr>
              <w:t>Retain/Revise/</w:t>
            </w:r>
          </w:p>
          <w:p w:rsidR="00EA6049" w:rsidRPr="00877A9E" w:rsidRDefault="002117D9" w:rsidP="00B315E7">
            <w:pPr>
              <w:rPr>
                <w:rFonts w:cs="Arial"/>
                <w:b/>
                <w:szCs w:val="22"/>
              </w:rPr>
            </w:pPr>
            <w:r>
              <w:rPr>
                <w:rFonts w:cs="Arial"/>
                <w:b/>
                <w:szCs w:val="22"/>
              </w:rPr>
              <w:t>Complete/</w:t>
            </w:r>
            <w:r w:rsidR="00EA6049">
              <w:rPr>
                <w:rFonts w:cs="Arial"/>
                <w:b/>
                <w:szCs w:val="22"/>
              </w:rPr>
              <w:t>Delete</w:t>
            </w:r>
          </w:p>
        </w:tc>
      </w:tr>
      <w:tr w:rsidR="00EA6049" w:rsidRPr="00877A9E" w:rsidTr="00707205">
        <w:tc>
          <w:tcPr>
            <w:tcW w:w="2538" w:type="dxa"/>
          </w:tcPr>
          <w:p w:rsidR="00EA6049" w:rsidRPr="00877A9E" w:rsidRDefault="00EA6049" w:rsidP="00FB2DE4">
            <w:pPr>
              <w:rPr>
                <w:rFonts w:cs="Arial"/>
                <w:szCs w:val="22"/>
              </w:rPr>
            </w:pPr>
            <w:r w:rsidRPr="00877A9E">
              <w:rPr>
                <w:rFonts w:cs="Arial"/>
                <w:szCs w:val="22"/>
              </w:rPr>
              <w:t>Identify additional data sources concerning education and workforce, including existing data and newly developed or innovative data measures</w:t>
            </w:r>
          </w:p>
        </w:tc>
        <w:tc>
          <w:tcPr>
            <w:tcW w:w="1710" w:type="dxa"/>
          </w:tcPr>
          <w:p w:rsidR="00EA6049" w:rsidRPr="00877A9E" w:rsidRDefault="00EA6049" w:rsidP="00B315E7">
            <w:pPr>
              <w:rPr>
                <w:rFonts w:cs="Arial"/>
                <w:szCs w:val="22"/>
              </w:rPr>
            </w:pPr>
            <w:r w:rsidRPr="00877A9E">
              <w:rPr>
                <w:rFonts w:cs="Arial"/>
                <w:szCs w:val="22"/>
              </w:rPr>
              <w:t xml:space="preserve">State (IDES, </w:t>
            </w:r>
            <w:r w:rsidR="0020516F">
              <w:rPr>
                <w:rFonts w:cs="Arial"/>
                <w:szCs w:val="22"/>
              </w:rPr>
              <w:t xml:space="preserve">ISBE, </w:t>
            </w:r>
            <w:r w:rsidR="00E27B3E">
              <w:rPr>
                <w:rFonts w:cs="Arial"/>
                <w:szCs w:val="22"/>
              </w:rPr>
              <w:t xml:space="preserve">ICCB, </w:t>
            </w:r>
            <w:r w:rsidRPr="00877A9E">
              <w:rPr>
                <w:rFonts w:cs="Arial"/>
                <w:szCs w:val="22"/>
              </w:rPr>
              <w:t>DCEO), CMAP, higher education institutions and community colleges</w:t>
            </w:r>
          </w:p>
        </w:tc>
        <w:tc>
          <w:tcPr>
            <w:tcW w:w="3600" w:type="dxa"/>
          </w:tcPr>
          <w:p w:rsidR="00EA6049" w:rsidRPr="00877A9E" w:rsidRDefault="00EA6049" w:rsidP="00450477">
            <w:pPr>
              <w:rPr>
                <w:rFonts w:cs="Arial"/>
                <w:szCs w:val="22"/>
              </w:rPr>
            </w:pPr>
            <w:r w:rsidRPr="00877A9E">
              <w:rPr>
                <w:rFonts w:cs="Arial"/>
                <w:szCs w:val="22"/>
              </w:rPr>
              <w:t xml:space="preserve">Analyze existing education and workforce information and data sources, including CWICstats, Illinois Department of Employment Security (IDES), </w:t>
            </w:r>
            <w:r w:rsidR="0020516F">
              <w:rPr>
                <w:rFonts w:cs="Arial"/>
                <w:szCs w:val="22"/>
              </w:rPr>
              <w:t xml:space="preserve">Illinois State Board of Education (ISBE), </w:t>
            </w:r>
            <w:r w:rsidRPr="00877A9E">
              <w:rPr>
                <w:rFonts w:cs="Arial"/>
                <w:szCs w:val="22"/>
              </w:rPr>
              <w:t xml:space="preserve">DCEO, Illinois Community College Board (ICCB), , among other sources.  Identify barriers to making new data sources publicly available on the Regional Indicators Project website and determine incentives or mechanisms needed to overcome these barriers. </w:t>
            </w:r>
          </w:p>
        </w:tc>
        <w:tc>
          <w:tcPr>
            <w:tcW w:w="1980" w:type="dxa"/>
          </w:tcPr>
          <w:p w:rsidR="00EA6049" w:rsidRPr="00877A9E" w:rsidRDefault="00471964" w:rsidP="00471964">
            <w:pPr>
              <w:rPr>
                <w:rFonts w:cs="Arial"/>
                <w:szCs w:val="22"/>
              </w:rPr>
            </w:pPr>
            <w:r>
              <w:rPr>
                <w:rFonts w:cs="Arial"/>
                <w:szCs w:val="22"/>
              </w:rPr>
              <w:t>Revise</w:t>
            </w:r>
          </w:p>
        </w:tc>
      </w:tr>
    </w:tbl>
    <w:p w:rsidR="00B6432C" w:rsidRDefault="00B6432C" w:rsidP="00FB2DE4">
      <w:pPr>
        <w:rPr>
          <w:b/>
          <w:szCs w:val="22"/>
        </w:rPr>
      </w:pPr>
    </w:p>
    <w:p w:rsidR="00114985" w:rsidRPr="00877A9E" w:rsidRDefault="00114985" w:rsidP="00B315E7">
      <w:pPr>
        <w:rPr>
          <w:b/>
          <w:szCs w:val="22"/>
        </w:rPr>
      </w:pPr>
      <w:r w:rsidRPr="00877A9E">
        <w:rPr>
          <w:b/>
          <w:szCs w:val="22"/>
        </w:rPr>
        <w:t>Implementation Examples:</w:t>
      </w:r>
    </w:p>
    <w:p w:rsidR="00114985" w:rsidRPr="005B6625" w:rsidRDefault="0031329A" w:rsidP="00B315E7">
      <w:pPr>
        <w:pStyle w:val="ListParagraph"/>
        <w:numPr>
          <w:ilvl w:val="0"/>
          <w:numId w:val="4"/>
        </w:numPr>
        <w:rPr>
          <w:rFonts w:eastAsia="Times New Roman"/>
        </w:rPr>
      </w:pPr>
      <w:r>
        <w:t xml:space="preserve">In June 2012, </w:t>
      </w:r>
      <w:r w:rsidR="00114985" w:rsidRPr="00456E79">
        <w:t>Chicago</w:t>
      </w:r>
      <w:r w:rsidR="00EB2270">
        <w:t xml:space="preserve"> </w:t>
      </w:r>
      <w:r w:rsidR="00114985" w:rsidRPr="00456E79">
        <w:t xml:space="preserve">Cook </w:t>
      </w:r>
      <w:r>
        <w:t xml:space="preserve">Workforce </w:t>
      </w:r>
      <w:r w:rsidR="00114985" w:rsidRPr="00456E79">
        <w:t xml:space="preserve">Partnership </w:t>
      </w:r>
      <w:r w:rsidR="002E3099" w:rsidRPr="00456E79">
        <w:t xml:space="preserve">was </w:t>
      </w:r>
      <w:r w:rsidR="00114985" w:rsidRPr="00456E79">
        <w:t>awar</w:t>
      </w:r>
      <w:r w:rsidR="002E3099" w:rsidRPr="00456E79">
        <w:t xml:space="preserve">ded $3 million grant from </w:t>
      </w:r>
      <w:r w:rsidR="00DD7622">
        <w:t xml:space="preserve">the </w:t>
      </w:r>
      <w:r w:rsidR="002E3099" w:rsidRPr="00456E79">
        <w:t xml:space="preserve">Department </w:t>
      </w:r>
      <w:r w:rsidR="00114985" w:rsidRPr="00456E79">
        <w:t>of Labor's Workforce Innovation Fund. The grant will be used to create an Integrated Workforce Information System.</w:t>
      </w:r>
      <w:r w:rsidR="002E3099" w:rsidRPr="00456E79">
        <w:t xml:space="preserve"> The </w:t>
      </w:r>
      <w:r w:rsidR="002E3099" w:rsidRPr="00456E79">
        <w:rPr>
          <w:rFonts w:eastAsia="Times New Roman"/>
        </w:rPr>
        <w:t xml:space="preserve">system is </w:t>
      </w:r>
      <w:r w:rsidR="009E54EF">
        <w:rPr>
          <w:rFonts w:eastAsia="Times New Roman"/>
        </w:rPr>
        <w:t>currently being developed</w:t>
      </w:r>
      <w:r w:rsidR="002E3099" w:rsidRPr="00456E79">
        <w:rPr>
          <w:rFonts w:eastAsia="Times New Roman"/>
        </w:rPr>
        <w:t xml:space="preserve"> </w:t>
      </w:r>
      <w:r w:rsidR="00281770">
        <w:rPr>
          <w:rFonts w:eastAsia="Times New Roman"/>
        </w:rPr>
        <w:t>to</w:t>
      </w:r>
      <w:r w:rsidR="002E3099" w:rsidRPr="00456E79">
        <w:rPr>
          <w:rFonts w:eastAsia="Times New Roman"/>
        </w:rPr>
        <w:t xml:space="preserve"> improve</w:t>
      </w:r>
      <w:r w:rsidR="00456E79">
        <w:rPr>
          <w:rFonts w:eastAsia="Times New Roman"/>
        </w:rPr>
        <w:t xml:space="preserve"> </w:t>
      </w:r>
      <w:r w:rsidR="002E3099" w:rsidRPr="00456E79">
        <w:t xml:space="preserve">credential attainment, </w:t>
      </w:r>
      <w:r w:rsidR="00281770">
        <w:t xml:space="preserve">as well as </w:t>
      </w:r>
      <w:r w:rsidR="009E54EF">
        <w:t xml:space="preserve">provide more accurate information on </w:t>
      </w:r>
      <w:r w:rsidR="002E3099" w:rsidRPr="00456E79">
        <w:t>employment and earnings results for client</w:t>
      </w:r>
      <w:r w:rsidR="00281770">
        <w:t xml:space="preserve">.  It will use </w:t>
      </w:r>
      <w:r w:rsidR="002E3099" w:rsidRPr="00456E79">
        <w:t>data-based decision-making to improve the assessment of client skills and barriers, leading to improved referral of clients to services, training opportunities</w:t>
      </w:r>
      <w:r w:rsidR="00317263">
        <w:t>,</w:t>
      </w:r>
      <w:r w:rsidR="002E3099" w:rsidRPr="00456E79">
        <w:t xml:space="preserve"> and job openings.</w:t>
      </w:r>
    </w:p>
    <w:p w:rsidR="00A86B60" w:rsidRPr="00715650" w:rsidRDefault="005B6625" w:rsidP="00B315E7">
      <w:pPr>
        <w:pStyle w:val="ListParagraph"/>
        <w:numPr>
          <w:ilvl w:val="0"/>
          <w:numId w:val="4"/>
        </w:numPr>
        <w:rPr>
          <w:rFonts w:eastAsia="Times New Roman"/>
        </w:rPr>
      </w:pPr>
      <w:r>
        <w:t>In 2012</w:t>
      </w:r>
      <w:r w:rsidRPr="005B6625">
        <w:t xml:space="preserve"> </w:t>
      </w:r>
      <w:r>
        <w:t>the U.S. Department of Labor awarded the</w:t>
      </w:r>
      <w:r w:rsidR="00A86B60">
        <w:t xml:space="preserve"> Illinois Department of Commerce and </w:t>
      </w:r>
      <w:r w:rsidR="00152B9C">
        <w:t xml:space="preserve">Economic </w:t>
      </w:r>
      <w:r w:rsidR="00A86B60">
        <w:t xml:space="preserve">Opportunity (DCEO) </w:t>
      </w:r>
      <w:r>
        <w:t>a $1 million grant through the Workforce Data Quality Initiative (WDQI).  The funding will allow DCEO to develop a longitudinal data system that includes unemployment insurance wage records, unemployment insurance benefit claims, data on workforce training programs</w:t>
      </w:r>
      <w:r w:rsidR="00317263">
        <w:t xml:space="preserve">, </w:t>
      </w:r>
      <w:r>
        <w:t xml:space="preserve">and other data sources. </w:t>
      </w:r>
      <w:r w:rsidR="00EB4423">
        <w:t xml:space="preserve"> </w:t>
      </w:r>
      <w:r>
        <w:t xml:space="preserve">The </w:t>
      </w:r>
      <w:r w:rsidR="00317263">
        <w:t>S</w:t>
      </w:r>
      <w:r>
        <w:t>tate is coordinating the development of this system with Illinois State Board of Education</w:t>
      </w:r>
      <w:r w:rsidR="00317263">
        <w:t>-</w:t>
      </w:r>
      <w:r>
        <w:t xml:space="preserve">led State Longitudinal Data System. </w:t>
      </w:r>
    </w:p>
    <w:p w:rsidR="00152B9C" w:rsidRDefault="00715650" w:rsidP="00152B9C">
      <w:pPr>
        <w:pStyle w:val="ListParagraph"/>
        <w:numPr>
          <w:ilvl w:val="0"/>
          <w:numId w:val="4"/>
        </w:numPr>
      </w:pPr>
      <w:r>
        <w:t xml:space="preserve">The </w:t>
      </w:r>
      <w:hyperlink r:id="rId27" w:history="1">
        <w:r w:rsidRPr="00EB4423">
          <w:rPr>
            <w:rStyle w:val="Hyperlink"/>
          </w:rPr>
          <w:t>Illinois P-20 Council</w:t>
        </w:r>
      </w:hyperlink>
      <w:r>
        <w:t xml:space="preserve"> continues to make recommendations to the Governor, General Assembly</w:t>
      </w:r>
      <w:r w:rsidR="00EB4423">
        <w:t>,</w:t>
      </w:r>
      <w:r>
        <w:t xml:space="preserve"> and state agencies to create a seamless system of education and support from birth to </w:t>
      </w:r>
      <w:r w:rsidR="00152B9C">
        <w:t>adulthood</w:t>
      </w:r>
      <w:r>
        <w:t xml:space="preserve">. </w:t>
      </w:r>
      <w:r w:rsidR="00EB4423">
        <w:t xml:space="preserve"> </w:t>
      </w:r>
      <w:r>
        <w:t>Data and metrics are included in the topics this group considers.</w:t>
      </w:r>
      <w:r w:rsidR="00152B9C">
        <w:t xml:space="preserve"> The council is composed of members appointed by the Governor, from business, local government, universities, school boards, non-profit organizations, teachers, partners, and other stakeholders.  The Council’s third annual report from April 2013 is available </w:t>
      </w:r>
      <w:hyperlink r:id="rId28" w:history="1">
        <w:r w:rsidR="00152B9C" w:rsidRPr="00D0040A">
          <w:rPr>
            <w:rStyle w:val="Hyperlink"/>
          </w:rPr>
          <w:t>online</w:t>
        </w:r>
      </w:hyperlink>
      <w:r w:rsidR="00152B9C">
        <w:t xml:space="preserve">.  </w:t>
      </w:r>
    </w:p>
    <w:p w:rsidR="00EA6049" w:rsidRDefault="00EA6049" w:rsidP="00B315E7">
      <w:pPr>
        <w:rPr>
          <w:b/>
        </w:rPr>
      </w:pPr>
    </w:p>
    <w:p w:rsidR="00EA7B5B" w:rsidRPr="00EA6049" w:rsidRDefault="00EA6049" w:rsidP="00B315E7">
      <w:r w:rsidRPr="00EA6049">
        <w:rPr>
          <w:b/>
        </w:rPr>
        <w:t>Rationale for Retain/</w:t>
      </w:r>
      <w:r w:rsidR="008869A5">
        <w:rPr>
          <w:b/>
        </w:rPr>
        <w:t>Revise/Complete/Delete</w:t>
      </w:r>
      <w:r w:rsidRPr="00EA6049">
        <w:rPr>
          <w:b/>
        </w:rPr>
        <w:t xml:space="preserve"> Assessment:</w:t>
      </w:r>
    </w:p>
    <w:p w:rsidR="00B6432C" w:rsidRPr="002117D9" w:rsidRDefault="00471964" w:rsidP="00B315E7">
      <w:pPr>
        <w:pStyle w:val="ListParagraph"/>
        <w:numPr>
          <w:ilvl w:val="0"/>
          <w:numId w:val="17"/>
        </w:numPr>
      </w:pPr>
      <w:r>
        <w:t>Remove reference to outdated program</w:t>
      </w:r>
      <w:r w:rsidR="00E27B3E">
        <w:t xml:space="preserve"> and broadened</w:t>
      </w:r>
      <w:r>
        <w:t>.</w:t>
      </w:r>
      <w:r w:rsidR="00B6432C">
        <w:br w:type="page"/>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1710"/>
        <w:gridCol w:w="4050"/>
        <w:gridCol w:w="1980"/>
      </w:tblGrid>
      <w:tr w:rsidR="00EA6049" w:rsidRPr="00877A9E" w:rsidTr="00707205">
        <w:tc>
          <w:tcPr>
            <w:tcW w:w="1998" w:type="dxa"/>
          </w:tcPr>
          <w:p w:rsidR="00EA6049" w:rsidRPr="00877A9E" w:rsidRDefault="00EA6049" w:rsidP="00FB2DE4">
            <w:pPr>
              <w:rPr>
                <w:rFonts w:cs="Arial"/>
                <w:b/>
                <w:szCs w:val="22"/>
              </w:rPr>
            </w:pPr>
            <w:r w:rsidRPr="00877A9E">
              <w:rPr>
                <w:rFonts w:cs="Arial"/>
                <w:b/>
                <w:szCs w:val="22"/>
              </w:rPr>
              <w:lastRenderedPageBreak/>
              <w:t>Action</w:t>
            </w:r>
          </w:p>
        </w:tc>
        <w:tc>
          <w:tcPr>
            <w:tcW w:w="1710" w:type="dxa"/>
          </w:tcPr>
          <w:p w:rsidR="00EA6049" w:rsidRPr="00877A9E" w:rsidRDefault="00EA6049" w:rsidP="00B315E7">
            <w:pPr>
              <w:rPr>
                <w:rFonts w:cs="Arial"/>
                <w:b/>
                <w:szCs w:val="22"/>
              </w:rPr>
            </w:pPr>
            <w:r w:rsidRPr="00877A9E">
              <w:rPr>
                <w:rFonts w:cs="Arial"/>
                <w:b/>
                <w:szCs w:val="22"/>
              </w:rPr>
              <w:t>Lead Implementers</w:t>
            </w:r>
          </w:p>
        </w:tc>
        <w:tc>
          <w:tcPr>
            <w:tcW w:w="4050" w:type="dxa"/>
          </w:tcPr>
          <w:p w:rsidR="00EA6049" w:rsidRPr="00877A9E" w:rsidRDefault="00EA6049" w:rsidP="00B315E7">
            <w:pPr>
              <w:rPr>
                <w:rFonts w:cs="Arial"/>
                <w:b/>
                <w:szCs w:val="22"/>
              </w:rPr>
            </w:pPr>
            <w:r w:rsidRPr="00877A9E">
              <w:rPr>
                <w:rFonts w:cs="Arial"/>
                <w:b/>
                <w:szCs w:val="22"/>
              </w:rPr>
              <w:t>Specifics</w:t>
            </w:r>
          </w:p>
        </w:tc>
        <w:tc>
          <w:tcPr>
            <w:tcW w:w="1980" w:type="dxa"/>
          </w:tcPr>
          <w:p w:rsidR="002117D9" w:rsidRDefault="00EA6049" w:rsidP="00B315E7">
            <w:pPr>
              <w:rPr>
                <w:rFonts w:cs="Arial"/>
                <w:b/>
                <w:szCs w:val="22"/>
              </w:rPr>
            </w:pPr>
            <w:r>
              <w:rPr>
                <w:rFonts w:cs="Arial"/>
                <w:b/>
                <w:szCs w:val="22"/>
              </w:rPr>
              <w:t>Retain/</w:t>
            </w:r>
            <w:r w:rsidR="008869A5">
              <w:rPr>
                <w:rFonts w:cs="Arial"/>
                <w:b/>
                <w:szCs w:val="22"/>
              </w:rPr>
              <w:t>Revise/</w:t>
            </w:r>
          </w:p>
          <w:p w:rsidR="00EA6049" w:rsidRPr="00877A9E" w:rsidRDefault="008869A5" w:rsidP="00B315E7">
            <w:pPr>
              <w:rPr>
                <w:rFonts w:cs="Arial"/>
                <w:b/>
                <w:szCs w:val="22"/>
              </w:rPr>
            </w:pPr>
            <w:r>
              <w:rPr>
                <w:rFonts w:cs="Arial"/>
                <w:b/>
                <w:szCs w:val="22"/>
              </w:rPr>
              <w:t>Complete/Delete</w:t>
            </w:r>
          </w:p>
        </w:tc>
      </w:tr>
      <w:tr w:rsidR="00EA6049" w:rsidRPr="00877A9E" w:rsidTr="00707205">
        <w:tc>
          <w:tcPr>
            <w:tcW w:w="1998" w:type="dxa"/>
          </w:tcPr>
          <w:p w:rsidR="00EA6049" w:rsidRPr="00877A9E" w:rsidRDefault="00EA6049" w:rsidP="00757A91">
            <w:pPr>
              <w:rPr>
                <w:rFonts w:cs="Arial"/>
                <w:szCs w:val="22"/>
              </w:rPr>
            </w:pPr>
            <w:r w:rsidRPr="00877A9E">
              <w:rPr>
                <w:rFonts w:cs="Arial"/>
                <w:szCs w:val="22"/>
              </w:rPr>
              <w:t xml:space="preserve">Expand </w:t>
            </w:r>
            <w:r w:rsidR="00844AA1">
              <w:rPr>
                <w:rFonts w:cs="Arial"/>
                <w:szCs w:val="22"/>
              </w:rPr>
              <w:t xml:space="preserve">and </w:t>
            </w:r>
            <w:r w:rsidR="001145A8">
              <w:rPr>
                <w:rFonts w:cs="Arial"/>
                <w:szCs w:val="22"/>
              </w:rPr>
              <w:t>advance</w:t>
            </w:r>
            <w:r w:rsidR="00844AA1">
              <w:rPr>
                <w:rFonts w:cs="Arial"/>
                <w:szCs w:val="22"/>
              </w:rPr>
              <w:t xml:space="preserve"> </w:t>
            </w:r>
            <w:r w:rsidR="008278CD">
              <w:rPr>
                <w:rFonts w:cs="Arial"/>
                <w:szCs w:val="22"/>
              </w:rPr>
              <w:t xml:space="preserve">efforts </w:t>
            </w:r>
            <w:r w:rsidR="00844AA1">
              <w:rPr>
                <w:rFonts w:cs="Arial"/>
                <w:szCs w:val="22"/>
              </w:rPr>
              <w:t>that work to integrate multiple</w:t>
            </w:r>
            <w:r w:rsidR="00757A91">
              <w:rPr>
                <w:rFonts w:cs="Arial"/>
                <w:szCs w:val="22"/>
              </w:rPr>
              <w:t xml:space="preserve"> education and workforce</w:t>
            </w:r>
            <w:r w:rsidR="00844AA1">
              <w:rPr>
                <w:rFonts w:cs="Arial"/>
                <w:szCs w:val="22"/>
              </w:rPr>
              <w:t xml:space="preserve"> data systems </w:t>
            </w:r>
          </w:p>
        </w:tc>
        <w:tc>
          <w:tcPr>
            <w:tcW w:w="1710" w:type="dxa"/>
          </w:tcPr>
          <w:p w:rsidR="00EA6049" w:rsidRPr="00877A9E" w:rsidRDefault="00EA6049" w:rsidP="00AA51D4">
            <w:pPr>
              <w:rPr>
                <w:rFonts w:cs="Arial"/>
                <w:szCs w:val="22"/>
              </w:rPr>
            </w:pPr>
            <w:r w:rsidRPr="00877A9E">
              <w:rPr>
                <w:rFonts w:cs="Arial"/>
                <w:szCs w:val="22"/>
              </w:rPr>
              <w:t xml:space="preserve">CMAP, </w:t>
            </w:r>
            <w:r w:rsidR="00844AA1">
              <w:rPr>
                <w:rFonts w:cs="Arial"/>
                <w:szCs w:val="22"/>
              </w:rPr>
              <w:t>State</w:t>
            </w:r>
            <w:r w:rsidR="00E27B3E">
              <w:rPr>
                <w:rFonts w:cs="Arial"/>
                <w:szCs w:val="22"/>
              </w:rPr>
              <w:t xml:space="preserve"> (IDES, DCEO)</w:t>
            </w:r>
            <w:r w:rsidR="00AA51D4">
              <w:rPr>
                <w:rFonts w:cs="Arial"/>
                <w:szCs w:val="22"/>
              </w:rPr>
              <w:t xml:space="preserve">, </w:t>
            </w:r>
            <w:r w:rsidR="00844AA1">
              <w:rPr>
                <w:rFonts w:cs="Arial"/>
                <w:szCs w:val="22"/>
              </w:rPr>
              <w:t xml:space="preserve"> </w:t>
            </w:r>
            <w:r w:rsidRPr="00877A9E">
              <w:rPr>
                <w:rFonts w:cs="Arial"/>
                <w:szCs w:val="22"/>
              </w:rPr>
              <w:t>WIBs, education institutions, workforce providers</w:t>
            </w:r>
          </w:p>
        </w:tc>
        <w:tc>
          <w:tcPr>
            <w:tcW w:w="4050" w:type="dxa"/>
          </w:tcPr>
          <w:p w:rsidR="00EA6049" w:rsidRPr="00877A9E" w:rsidRDefault="005F7AD5" w:rsidP="00757A91">
            <w:pPr>
              <w:rPr>
                <w:rFonts w:cs="Arial"/>
                <w:szCs w:val="22"/>
              </w:rPr>
            </w:pPr>
            <w:r>
              <w:rPr>
                <w:rFonts w:cs="Arial"/>
                <w:szCs w:val="22"/>
              </w:rPr>
              <w:t>The region</w:t>
            </w:r>
            <w:r w:rsidR="00757A91">
              <w:rPr>
                <w:rFonts w:cs="Arial"/>
                <w:szCs w:val="22"/>
              </w:rPr>
              <w:t xml:space="preserve"> continues to</w:t>
            </w:r>
            <w:r>
              <w:rPr>
                <w:rFonts w:cs="Arial"/>
                <w:szCs w:val="22"/>
              </w:rPr>
              <w:t xml:space="preserve"> need reliable data, analysis, and information on the workforce development system and its outcomes. </w:t>
            </w:r>
            <w:r w:rsidR="0056774E">
              <w:rPr>
                <w:rFonts w:cs="Arial"/>
                <w:szCs w:val="22"/>
              </w:rPr>
              <w:t xml:space="preserve"> </w:t>
            </w:r>
            <w:r w:rsidR="00E300E8">
              <w:rPr>
                <w:rFonts w:cs="Arial"/>
                <w:szCs w:val="22"/>
              </w:rPr>
              <w:t xml:space="preserve">Continue to expand and support </w:t>
            </w:r>
            <w:r w:rsidR="0056774E">
              <w:rPr>
                <w:rFonts w:cs="Arial"/>
                <w:szCs w:val="22"/>
              </w:rPr>
              <w:t xml:space="preserve">CWICstats </w:t>
            </w:r>
            <w:r w:rsidR="0056774E" w:rsidRPr="005F7AD5">
              <w:rPr>
                <w:rFonts w:cs="Arial"/>
                <w:szCs w:val="22"/>
              </w:rPr>
              <w:t>(Chicagoland Workforce Information Collaborative at Chapin Hall</w:t>
            </w:r>
            <w:r w:rsidR="0056774E">
              <w:rPr>
                <w:rFonts w:cs="Arial"/>
                <w:szCs w:val="22"/>
              </w:rPr>
              <w:t>)</w:t>
            </w:r>
            <w:r w:rsidR="00E300E8">
              <w:rPr>
                <w:rFonts w:cs="Arial"/>
                <w:szCs w:val="22"/>
              </w:rPr>
              <w:t xml:space="preserve"> to</w:t>
            </w:r>
            <w:r w:rsidR="0056774E">
              <w:rPr>
                <w:rFonts w:cs="Arial"/>
                <w:szCs w:val="22"/>
              </w:rPr>
              <w:t xml:space="preserve"> </w:t>
            </w:r>
            <w:r w:rsidR="00E300E8">
              <w:rPr>
                <w:rFonts w:cs="Arial"/>
                <w:szCs w:val="22"/>
              </w:rPr>
              <w:t>analyze</w:t>
            </w:r>
            <w:r w:rsidR="0056774E">
              <w:rPr>
                <w:rFonts w:cs="Arial"/>
                <w:szCs w:val="22"/>
              </w:rPr>
              <w:t xml:space="preserve"> and </w:t>
            </w:r>
            <w:r w:rsidR="004336D6">
              <w:rPr>
                <w:rFonts w:cs="Arial"/>
                <w:szCs w:val="22"/>
              </w:rPr>
              <w:t xml:space="preserve">link data </w:t>
            </w:r>
            <w:r w:rsidR="00E300E8">
              <w:rPr>
                <w:rFonts w:cs="Arial"/>
                <w:szCs w:val="22"/>
              </w:rPr>
              <w:t>in order to</w:t>
            </w:r>
            <w:r w:rsidR="004336D6">
              <w:rPr>
                <w:rFonts w:cs="Arial"/>
                <w:szCs w:val="22"/>
              </w:rPr>
              <w:t xml:space="preserve"> study students and training participants as they move </w:t>
            </w:r>
            <w:r w:rsidR="00E300E8">
              <w:rPr>
                <w:rFonts w:cs="Arial"/>
                <w:szCs w:val="22"/>
              </w:rPr>
              <w:t>through</w:t>
            </w:r>
            <w:r w:rsidR="004336D6">
              <w:rPr>
                <w:rFonts w:cs="Arial"/>
                <w:szCs w:val="22"/>
              </w:rPr>
              <w:t xml:space="preserve"> the public education system and the</w:t>
            </w:r>
            <w:r w:rsidR="00E300E8">
              <w:rPr>
                <w:rFonts w:cs="Arial"/>
                <w:szCs w:val="22"/>
              </w:rPr>
              <w:t xml:space="preserve"> public</w:t>
            </w:r>
            <w:r w:rsidR="004336D6">
              <w:rPr>
                <w:rFonts w:cs="Arial"/>
                <w:szCs w:val="22"/>
              </w:rPr>
              <w:t xml:space="preserve"> workforce d</w:t>
            </w:r>
            <w:r w:rsidR="00E300E8">
              <w:rPr>
                <w:rFonts w:cs="Arial"/>
                <w:szCs w:val="22"/>
              </w:rPr>
              <w:t xml:space="preserve">evelopment system. Continue to develop the Integrated Workforce Information System (IWIS), </w:t>
            </w:r>
            <w:r w:rsidR="00E300E8" w:rsidRPr="005F7AD5">
              <w:rPr>
                <w:rFonts w:cs="Arial"/>
                <w:szCs w:val="22"/>
              </w:rPr>
              <w:t>an integrated management information system that will collect information across programs and organizations on all those being served by the workforce development system in Chicago and Cook County, including those whose services are supported by public or private funds</w:t>
            </w:r>
            <w:r w:rsidR="00E300E8">
              <w:rPr>
                <w:rFonts w:cs="Arial"/>
                <w:szCs w:val="22"/>
              </w:rPr>
              <w:t xml:space="preserve">. </w:t>
            </w:r>
          </w:p>
        </w:tc>
        <w:tc>
          <w:tcPr>
            <w:tcW w:w="1980" w:type="dxa"/>
          </w:tcPr>
          <w:p w:rsidR="00EA6049" w:rsidRPr="00877A9E" w:rsidRDefault="005D4D99" w:rsidP="00B315E7">
            <w:pPr>
              <w:rPr>
                <w:rFonts w:cs="Arial"/>
                <w:szCs w:val="22"/>
              </w:rPr>
            </w:pPr>
            <w:r>
              <w:rPr>
                <w:rFonts w:cs="Arial"/>
                <w:szCs w:val="22"/>
              </w:rPr>
              <w:t>Revise</w:t>
            </w:r>
          </w:p>
        </w:tc>
      </w:tr>
    </w:tbl>
    <w:p w:rsidR="00B6432C" w:rsidRDefault="00B6432C" w:rsidP="00FB2DE4">
      <w:pPr>
        <w:rPr>
          <w:b/>
          <w:szCs w:val="22"/>
        </w:rPr>
      </w:pPr>
    </w:p>
    <w:p w:rsidR="00114985" w:rsidRPr="00877A9E" w:rsidRDefault="00114985" w:rsidP="00B315E7">
      <w:pPr>
        <w:rPr>
          <w:b/>
          <w:szCs w:val="22"/>
        </w:rPr>
      </w:pPr>
      <w:r w:rsidRPr="00877A9E">
        <w:rPr>
          <w:b/>
          <w:szCs w:val="22"/>
        </w:rPr>
        <w:t>Implementation Examples:</w:t>
      </w:r>
    </w:p>
    <w:p w:rsidR="00EA7B5B" w:rsidRDefault="00013265" w:rsidP="00B315E7">
      <w:pPr>
        <w:pStyle w:val="ListParagraph"/>
        <w:numPr>
          <w:ilvl w:val="0"/>
          <w:numId w:val="5"/>
        </w:numPr>
      </w:pPr>
      <w:hyperlink r:id="rId29" w:history="1">
        <w:r w:rsidR="00456E79" w:rsidRPr="00323AAB">
          <w:rPr>
            <w:rStyle w:val="Hyperlink"/>
          </w:rPr>
          <w:t>CWICstats</w:t>
        </w:r>
      </w:hyperlink>
      <w:r w:rsidR="00456E79" w:rsidRPr="00456E79">
        <w:t>, the Chicagoland Workforce Information Collaborative</w:t>
      </w:r>
      <w:r w:rsidR="002668E0">
        <w:t xml:space="preserve"> </w:t>
      </w:r>
      <w:r w:rsidR="00456E79" w:rsidRPr="00456E79">
        <w:t>at Chapin Hall, has evolved and expanded its scope</w:t>
      </w:r>
      <w:r w:rsidR="002668E0">
        <w:t xml:space="preserve"> since it</w:t>
      </w:r>
      <w:r w:rsidR="00DD7622">
        <w:t>s</w:t>
      </w:r>
      <w:r w:rsidR="002668E0">
        <w:t xml:space="preserve"> original inception in 2010</w:t>
      </w:r>
      <w:r w:rsidR="00456E79" w:rsidRPr="00456E79">
        <w:t>.  Research efforts have evolved into specific projects to link and analyze data for particular agencies or programs rat</w:t>
      </w:r>
      <w:r w:rsidR="00DD7622">
        <w:t>her than a comprehensive, system-</w:t>
      </w:r>
      <w:r w:rsidR="00456E79" w:rsidRPr="00456E79">
        <w:t>wide scope, which w</w:t>
      </w:r>
      <w:r w:rsidR="00DD7622">
        <w:t>as</w:t>
      </w:r>
      <w:r w:rsidR="00456E79" w:rsidRPr="00456E79">
        <w:t xml:space="preserve"> the </w:t>
      </w:r>
      <w:r w:rsidR="00323AAB" w:rsidRPr="00456E79">
        <w:t xml:space="preserve">original </w:t>
      </w:r>
      <w:r w:rsidR="00456E79" w:rsidRPr="00456E79">
        <w:t xml:space="preserve">objective </w:t>
      </w:r>
      <w:r w:rsidR="00DD7622">
        <w:t>of</w:t>
      </w:r>
      <w:r w:rsidR="00456E79" w:rsidRPr="00456E79">
        <w:t xml:space="preserve"> the CWICstats effort. </w:t>
      </w:r>
    </w:p>
    <w:p w:rsidR="00456E79" w:rsidRDefault="00EA7B5B" w:rsidP="00B315E7">
      <w:pPr>
        <w:pStyle w:val="ListParagraph"/>
        <w:numPr>
          <w:ilvl w:val="0"/>
          <w:numId w:val="5"/>
        </w:numPr>
      </w:pPr>
      <w:r>
        <w:t xml:space="preserve">The Metropolitan Chicago WIA-Training Resource Guide includes information on </w:t>
      </w:r>
      <w:r w:rsidR="00323AAB">
        <w:t>Workforce Investment Act-</w:t>
      </w:r>
      <w:r>
        <w:t xml:space="preserve">certified training programs, including the location and type of programs offered, employment and wages of each program’s graduates, customer feedback, </w:t>
      </w:r>
      <w:r w:rsidR="00323AAB">
        <w:t xml:space="preserve">and </w:t>
      </w:r>
      <w:r w:rsidR="00456E79" w:rsidRPr="00456E79">
        <w:t xml:space="preserve">occupational labor market information. </w:t>
      </w:r>
      <w:r w:rsidR="00323AAB">
        <w:t xml:space="preserve">  </w:t>
      </w:r>
      <w:r w:rsidR="00456E79" w:rsidRPr="00456E79">
        <w:t xml:space="preserve">The </w:t>
      </w:r>
      <w:r>
        <w:t xml:space="preserve">online portal </w:t>
      </w:r>
      <w:hyperlink r:id="rId30" w:history="1">
        <w:r w:rsidR="00456E79" w:rsidRPr="00EA7B5B">
          <w:rPr>
            <w:rStyle w:val="Hyperlink"/>
          </w:rPr>
          <w:t>website</w:t>
        </w:r>
      </w:hyperlink>
      <w:r w:rsidR="00456E79" w:rsidRPr="00456E79">
        <w:t xml:space="preserve"> </w:t>
      </w:r>
      <w:r w:rsidR="00DD7622">
        <w:t xml:space="preserve">began </w:t>
      </w:r>
      <w:r w:rsidR="00456E79" w:rsidRPr="00456E79">
        <w:t>with Chicago, but has expanded to t</w:t>
      </w:r>
      <w:r w:rsidR="00323AAB">
        <w:t>he metropolitan area to include</w:t>
      </w:r>
      <w:r w:rsidR="00456E79" w:rsidRPr="00456E79">
        <w:t xml:space="preserve"> Cook, DuPage, Lake, McHenry, and Will Counties.</w:t>
      </w:r>
    </w:p>
    <w:p w:rsidR="00456E79" w:rsidRPr="005F5B71" w:rsidRDefault="00456E79" w:rsidP="00B315E7">
      <w:pPr>
        <w:ind w:firstLine="60"/>
        <w:rPr>
          <w:szCs w:val="22"/>
        </w:rPr>
      </w:pPr>
    </w:p>
    <w:p w:rsidR="008568BD" w:rsidRDefault="00EA6049" w:rsidP="00B315E7">
      <w:r w:rsidRPr="00EA6049">
        <w:rPr>
          <w:b/>
        </w:rPr>
        <w:t>Rationale for Retain/</w:t>
      </w:r>
      <w:r w:rsidR="008869A5">
        <w:rPr>
          <w:b/>
        </w:rPr>
        <w:t>Revise/Complete/Delete</w:t>
      </w:r>
      <w:r w:rsidRPr="00EA6049">
        <w:rPr>
          <w:b/>
        </w:rPr>
        <w:t xml:space="preserve"> Assessment:</w:t>
      </w:r>
    </w:p>
    <w:p w:rsidR="00B6432C" w:rsidRPr="002117D9" w:rsidRDefault="005D4D99" w:rsidP="00B315E7">
      <w:pPr>
        <w:pStyle w:val="ListParagraph"/>
        <w:numPr>
          <w:ilvl w:val="0"/>
          <w:numId w:val="18"/>
        </w:numPr>
      </w:pPr>
      <w:r>
        <w:t xml:space="preserve">This </w:t>
      </w:r>
      <w:r w:rsidR="00323AAB">
        <w:t xml:space="preserve">action </w:t>
      </w:r>
      <w:r>
        <w:t>needs to be revised to reflect</w:t>
      </w:r>
      <w:r w:rsidR="00323AAB">
        <w:t xml:space="preserve"> the</w:t>
      </w:r>
      <w:r>
        <w:t xml:space="preserve"> current status of CWICstats and related projects. </w:t>
      </w:r>
      <w:r w:rsidR="00B6432C">
        <w:br w:type="page"/>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8"/>
        <w:gridCol w:w="1710"/>
        <w:gridCol w:w="3510"/>
        <w:gridCol w:w="1980"/>
      </w:tblGrid>
      <w:tr w:rsidR="002B7469" w:rsidRPr="00877A9E" w:rsidTr="002B7469">
        <w:tc>
          <w:tcPr>
            <w:tcW w:w="2538" w:type="dxa"/>
          </w:tcPr>
          <w:p w:rsidR="002B7469" w:rsidRPr="00877A9E" w:rsidRDefault="002B7469" w:rsidP="00FB2DE4">
            <w:pPr>
              <w:rPr>
                <w:rFonts w:cs="Arial"/>
                <w:b/>
                <w:szCs w:val="22"/>
              </w:rPr>
            </w:pPr>
            <w:r w:rsidRPr="00877A9E">
              <w:rPr>
                <w:rFonts w:cs="Arial"/>
                <w:b/>
                <w:szCs w:val="22"/>
              </w:rPr>
              <w:lastRenderedPageBreak/>
              <w:t>Action</w:t>
            </w:r>
          </w:p>
        </w:tc>
        <w:tc>
          <w:tcPr>
            <w:tcW w:w="1710" w:type="dxa"/>
          </w:tcPr>
          <w:p w:rsidR="002B7469" w:rsidRPr="00877A9E" w:rsidRDefault="002B7469" w:rsidP="00B315E7">
            <w:pPr>
              <w:rPr>
                <w:rFonts w:cs="Arial"/>
                <w:b/>
                <w:szCs w:val="22"/>
              </w:rPr>
            </w:pPr>
            <w:r w:rsidRPr="00877A9E">
              <w:rPr>
                <w:rFonts w:cs="Arial"/>
                <w:b/>
                <w:szCs w:val="22"/>
              </w:rPr>
              <w:t>Lead Implementers</w:t>
            </w:r>
          </w:p>
        </w:tc>
        <w:tc>
          <w:tcPr>
            <w:tcW w:w="3510" w:type="dxa"/>
          </w:tcPr>
          <w:p w:rsidR="002B7469" w:rsidRPr="00877A9E" w:rsidRDefault="002B7469" w:rsidP="00B315E7">
            <w:pPr>
              <w:rPr>
                <w:rFonts w:cs="Arial"/>
                <w:b/>
                <w:szCs w:val="22"/>
              </w:rPr>
            </w:pPr>
            <w:r w:rsidRPr="00877A9E">
              <w:rPr>
                <w:rFonts w:cs="Arial"/>
                <w:b/>
                <w:szCs w:val="22"/>
              </w:rPr>
              <w:t>Specifics</w:t>
            </w:r>
          </w:p>
        </w:tc>
        <w:tc>
          <w:tcPr>
            <w:tcW w:w="1980" w:type="dxa"/>
          </w:tcPr>
          <w:p w:rsidR="002B7469" w:rsidRDefault="002B7469" w:rsidP="00B315E7">
            <w:pPr>
              <w:rPr>
                <w:rFonts w:cs="Arial"/>
                <w:b/>
                <w:szCs w:val="22"/>
              </w:rPr>
            </w:pPr>
            <w:r>
              <w:rPr>
                <w:rFonts w:cs="Arial"/>
                <w:b/>
                <w:szCs w:val="22"/>
              </w:rPr>
              <w:t>Retain/Revise/</w:t>
            </w:r>
          </w:p>
          <w:p w:rsidR="002B7469" w:rsidRPr="00877A9E" w:rsidRDefault="002117D9" w:rsidP="00B315E7">
            <w:pPr>
              <w:rPr>
                <w:rFonts w:cs="Arial"/>
                <w:b/>
                <w:szCs w:val="22"/>
              </w:rPr>
            </w:pPr>
            <w:r>
              <w:rPr>
                <w:rFonts w:cs="Arial"/>
                <w:b/>
                <w:szCs w:val="22"/>
              </w:rPr>
              <w:t>Complete/</w:t>
            </w:r>
            <w:r w:rsidR="002B7469">
              <w:rPr>
                <w:rFonts w:cs="Arial"/>
                <w:b/>
                <w:szCs w:val="22"/>
              </w:rPr>
              <w:t>Delete</w:t>
            </w:r>
          </w:p>
        </w:tc>
      </w:tr>
      <w:tr w:rsidR="002B7469" w:rsidRPr="00877A9E" w:rsidTr="002B7469">
        <w:tc>
          <w:tcPr>
            <w:tcW w:w="2538" w:type="dxa"/>
          </w:tcPr>
          <w:p w:rsidR="002B7469" w:rsidRPr="00877A9E" w:rsidRDefault="002B7469" w:rsidP="00844AA1">
            <w:pPr>
              <w:rPr>
                <w:rFonts w:cs="Arial"/>
                <w:szCs w:val="22"/>
              </w:rPr>
            </w:pPr>
            <w:r w:rsidRPr="00877A9E">
              <w:rPr>
                <w:rFonts w:cs="Arial"/>
                <w:szCs w:val="22"/>
              </w:rPr>
              <w:t xml:space="preserve">Expand </w:t>
            </w:r>
            <w:r w:rsidR="00844AA1">
              <w:rPr>
                <w:rFonts w:cs="Arial"/>
                <w:szCs w:val="22"/>
              </w:rPr>
              <w:t xml:space="preserve">and develop the Illinois Longitudinal Data System (ILDS) to include workforce and labor market data. </w:t>
            </w:r>
          </w:p>
        </w:tc>
        <w:tc>
          <w:tcPr>
            <w:tcW w:w="1710" w:type="dxa"/>
          </w:tcPr>
          <w:p w:rsidR="002B7469" w:rsidRPr="00877A9E" w:rsidRDefault="002B7469" w:rsidP="00AE4233">
            <w:pPr>
              <w:rPr>
                <w:rFonts w:cs="Arial"/>
                <w:szCs w:val="22"/>
              </w:rPr>
            </w:pPr>
            <w:r w:rsidRPr="00877A9E">
              <w:rPr>
                <w:rFonts w:cs="Arial"/>
                <w:szCs w:val="22"/>
              </w:rPr>
              <w:t>State</w:t>
            </w:r>
            <w:r w:rsidR="00844AA1">
              <w:rPr>
                <w:rFonts w:cs="Arial"/>
                <w:szCs w:val="22"/>
              </w:rPr>
              <w:t xml:space="preserve"> </w:t>
            </w:r>
            <w:r w:rsidRPr="00877A9E">
              <w:rPr>
                <w:rFonts w:cs="Arial"/>
                <w:szCs w:val="22"/>
              </w:rPr>
              <w:t>(ISBE</w:t>
            </w:r>
            <w:r w:rsidR="00AE4233">
              <w:rPr>
                <w:rFonts w:cs="Arial"/>
                <w:szCs w:val="22"/>
              </w:rPr>
              <w:t xml:space="preserve">, </w:t>
            </w:r>
            <w:r w:rsidR="00844AA1">
              <w:rPr>
                <w:rFonts w:cs="Arial"/>
                <w:szCs w:val="22"/>
              </w:rPr>
              <w:t xml:space="preserve">DCEO), </w:t>
            </w:r>
            <w:r w:rsidRPr="00877A9E">
              <w:rPr>
                <w:rFonts w:cs="Arial"/>
                <w:szCs w:val="22"/>
              </w:rPr>
              <w:t>early childhood educators, higher education institutions, workforce providers</w:t>
            </w:r>
          </w:p>
        </w:tc>
        <w:tc>
          <w:tcPr>
            <w:tcW w:w="3510" w:type="dxa"/>
          </w:tcPr>
          <w:p w:rsidR="002B7469" w:rsidRPr="00877A9E" w:rsidRDefault="002B7469" w:rsidP="007D4B41">
            <w:pPr>
              <w:rPr>
                <w:rFonts w:cs="Arial"/>
                <w:szCs w:val="22"/>
              </w:rPr>
            </w:pPr>
            <w:r w:rsidRPr="00877A9E">
              <w:rPr>
                <w:rFonts w:cs="Arial"/>
                <w:szCs w:val="22"/>
              </w:rPr>
              <w:t xml:space="preserve">Implement the </w:t>
            </w:r>
            <w:r w:rsidR="005F4FA2">
              <w:rPr>
                <w:rFonts w:cs="Arial"/>
                <w:szCs w:val="22"/>
              </w:rPr>
              <w:t>ILDS</w:t>
            </w:r>
            <w:r w:rsidR="00844AA1">
              <w:rPr>
                <w:rFonts w:cs="Arial"/>
                <w:szCs w:val="22"/>
              </w:rPr>
              <w:t xml:space="preserve"> </w:t>
            </w:r>
            <w:r w:rsidRPr="00877A9E">
              <w:rPr>
                <w:rFonts w:cs="Arial"/>
                <w:szCs w:val="22"/>
              </w:rPr>
              <w:t>to track student performance over their educational careers, including data beyond academic achievement.  Expand this to coordinate with early childhood education, higher education, and workforce development data systems.</w:t>
            </w:r>
          </w:p>
        </w:tc>
        <w:tc>
          <w:tcPr>
            <w:tcW w:w="1980" w:type="dxa"/>
          </w:tcPr>
          <w:p w:rsidR="002B7469" w:rsidRPr="00877A9E" w:rsidRDefault="005D4D99" w:rsidP="00B315E7">
            <w:pPr>
              <w:rPr>
                <w:rFonts w:cs="Arial"/>
                <w:szCs w:val="22"/>
              </w:rPr>
            </w:pPr>
            <w:r>
              <w:rPr>
                <w:rFonts w:cs="Arial"/>
                <w:szCs w:val="22"/>
              </w:rPr>
              <w:t>Revise</w:t>
            </w:r>
          </w:p>
        </w:tc>
      </w:tr>
    </w:tbl>
    <w:p w:rsidR="002668E0" w:rsidRDefault="002668E0" w:rsidP="00FB2DE4">
      <w:pPr>
        <w:rPr>
          <w:b/>
          <w:szCs w:val="22"/>
        </w:rPr>
      </w:pPr>
    </w:p>
    <w:p w:rsidR="00114985" w:rsidRPr="00877A9E" w:rsidRDefault="00114985" w:rsidP="00B315E7">
      <w:pPr>
        <w:rPr>
          <w:b/>
          <w:szCs w:val="22"/>
        </w:rPr>
      </w:pPr>
      <w:r w:rsidRPr="00877A9E">
        <w:rPr>
          <w:b/>
          <w:szCs w:val="22"/>
        </w:rPr>
        <w:t>Implementation Examples:</w:t>
      </w:r>
    </w:p>
    <w:p w:rsidR="00B6432C" w:rsidRDefault="00A86B60" w:rsidP="00B315E7">
      <w:pPr>
        <w:pStyle w:val="ListParagraph"/>
        <w:numPr>
          <w:ilvl w:val="0"/>
          <w:numId w:val="4"/>
        </w:numPr>
      </w:pPr>
      <w:r w:rsidRPr="00456E79">
        <w:t xml:space="preserve">The Illinois State Board of Education was awarded nearly $20 million in federal grants to develop the </w:t>
      </w:r>
      <w:hyperlink r:id="rId31" w:history="1">
        <w:r w:rsidR="001145A8">
          <w:rPr>
            <w:rStyle w:val="Hyperlink"/>
          </w:rPr>
          <w:t xml:space="preserve">Illinois </w:t>
        </w:r>
        <w:r w:rsidRPr="00C341B3">
          <w:rPr>
            <w:rStyle w:val="Hyperlink"/>
          </w:rPr>
          <w:t>Longitudinal Data System</w:t>
        </w:r>
      </w:hyperlink>
      <w:r>
        <w:t>, which will integrate the Student Information System as well as numerous other data systems</w:t>
      </w:r>
      <w:r w:rsidR="00AE4233">
        <w:t xml:space="preserve"> to track students from pre-K through postsecondary education</w:t>
      </w:r>
      <w:r>
        <w:t xml:space="preserve">. </w:t>
      </w:r>
      <w:r w:rsidR="00323AAB">
        <w:t xml:space="preserve"> </w:t>
      </w:r>
      <w:r>
        <w:t>The initiative</w:t>
      </w:r>
      <w:r w:rsidRPr="00456E79">
        <w:t xml:space="preserve"> will link many data sources and improve the ability of researchers to answer complex questions regarding the outcomes and impact of education and training programs. </w:t>
      </w:r>
      <w:r w:rsidR="00323AAB">
        <w:t xml:space="preserve"> </w:t>
      </w:r>
      <w:r w:rsidRPr="00456E79">
        <w:t xml:space="preserve">There are challenges to ensuring the system provides benefit to the greatest number of end-users, and CMAP has helped convene end-users to communicate their data and information needs. </w:t>
      </w:r>
    </w:p>
    <w:p w:rsidR="002B7469" w:rsidRDefault="00EA7B5B" w:rsidP="00B315E7">
      <w:pPr>
        <w:pStyle w:val="ListParagraph"/>
        <w:numPr>
          <w:ilvl w:val="0"/>
          <w:numId w:val="4"/>
        </w:numPr>
      </w:pPr>
      <w:r>
        <w:t xml:space="preserve">The </w:t>
      </w:r>
      <w:hyperlink r:id="rId32" w:history="1">
        <w:r w:rsidRPr="00323AAB">
          <w:rPr>
            <w:rStyle w:val="Hyperlink"/>
          </w:rPr>
          <w:t>Illinois Collaborative for Education Policy Research</w:t>
        </w:r>
      </w:hyperlink>
      <w:r>
        <w:t xml:space="preserve"> (ICEPR)  is a network for state agencies, universities, researchers, and others that are working together to formulate </w:t>
      </w:r>
      <w:r w:rsidR="00114985" w:rsidRPr="00EA7B5B">
        <w:t>a</w:t>
      </w:r>
      <w:r>
        <w:t xml:space="preserve"> research agenda to utilize the state’s education and workforce data systems.</w:t>
      </w:r>
      <w:r w:rsidR="00C341B3">
        <w:t xml:space="preserve"> </w:t>
      </w:r>
      <w:r>
        <w:t xml:space="preserve"> The ICEPR was launched in 2012 as part of Illinois’</w:t>
      </w:r>
      <w:r w:rsidR="00323AAB">
        <w:t>s federal “</w:t>
      </w:r>
      <w:r>
        <w:t>Race to the Top</w:t>
      </w:r>
      <w:r w:rsidR="00323AAB">
        <w:t>” g</w:t>
      </w:r>
      <w:r>
        <w:t xml:space="preserve">rant. </w:t>
      </w:r>
    </w:p>
    <w:p w:rsidR="002B7469" w:rsidRDefault="002B7469" w:rsidP="00B315E7">
      <w:pPr>
        <w:rPr>
          <w:b/>
        </w:rPr>
      </w:pPr>
    </w:p>
    <w:p w:rsidR="005D4D99" w:rsidRDefault="002B7469" w:rsidP="00B315E7">
      <w:pPr>
        <w:rPr>
          <w:b/>
        </w:rPr>
      </w:pPr>
      <w:r w:rsidRPr="002B7469">
        <w:rPr>
          <w:b/>
        </w:rPr>
        <w:t>Rationale for Retain/</w:t>
      </w:r>
      <w:r w:rsidR="008869A5">
        <w:rPr>
          <w:b/>
        </w:rPr>
        <w:t>Revise/Complete/Delete</w:t>
      </w:r>
      <w:r w:rsidRPr="002B7469">
        <w:rPr>
          <w:b/>
        </w:rPr>
        <w:t xml:space="preserve"> Assessment:</w:t>
      </w:r>
    </w:p>
    <w:p w:rsidR="00114985" w:rsidRPr="00877A9E" w:rsidRDefault="002117D9" w:rsidP="00B315E7">
      <w:pPr>
        <w:pStyle w:val="ListParagraph"/>
        <w:numPr>
          <w:ilvl w:val="0"/>
          <w:numId w:val="19"/>
        </w:numPr>
      </w:pPr>
      <w:r>
        <w:t xml:space="preserve">This action </w:t>
      </w:r>
      <w:r w:rsidR="005D4D99">
        <w:t xml:space="preserve">may </w:t>
      </w:r>
      <w:r>
        <w:t xml:space="preserve">need to be </w:t>
      </w:r>
      <w:r w:rsidR="005D4D99">
        <w:t>revise</w:t>
      </w:r>
      <w:r>
        <w:t>d</w:t>
      </w:r>
      <w:r w:rsidR="005D4D99">
        <w:t xml:space="preserve"> slightly to </w:t>
      </w:r>
      <w:r w:rsidR="003B068C">
        <w:t xml:space="preserve">shift </w:t>
      </w:r>
      <w:r w:rsidR="005D4D99">
        <w:t xml:space="preserve">focus </w:t>
      </w:r>
      <w:r w:rsidR="003B068C">
        <w:t>to</w:t>
      </w:r>
      <w:r w:rsidR="005D4D99">
        <w:t xml:space="preserve"> the </w:t>
      </w:r>
      <w:r w:rsidR="005D4D99" w:rsidRPr="00456E79">
        <w:t>State Longitudinal Data System</w:t>
      </w:r>
      <w:r w:rsidR="003B068C">
        <w:t xml:space="preserve"> (ILDS)</w:t>
      </w:r>
      <w:r w:rsidR="005D4D99" w:rsidRPr="00877A9E">
        <w:t xml:space="preserve"> </w:t>
      </w:r>
      <w:r w:rsidR="005D4D99">
        <w:t xml:space="preserve">rather than the </w:t>
      </w:r>
      <w:r w:rsidR="005D4D99" w:rsidRPr="002117D9">
        <w:rPr>
          <w:rFonts w:cs="Arial"/>
        </w:rPr>
        <w:t>Student Information System</w:t>
      </w:r>
      <w:r w:rsidR="003B068C">
        <w:rPr>
          <w:rFonts w:cs="Arial"/>
        </w:rPr>
        <w:t xml:space="preserve"> (SIS)</w:t>
      </w:r>
      <w:r>
        <w:rPr>
          <w:rFonts w:cs="Arial"/>
        </w:rPr>
        <w:t>.</w:t>
      </w:r>
      <w:r w:rsidR="005D4D99" w:rsidRPr="00877A9E">
        <w:t xml:space="preserve"> </w:t>
      </w:r>
      <w:r w:rsidR="003B068C">
        <w:t xml:space="preserve">The data for the SIS will be included in the ILDS. </w:t>
      </w:r>
      <w:r w:rsidR="00114985" w:rsidRPr="00877A9E">
        <w:br w:type="page"/>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710"/>
        <w:gridCol w:w="3240"/>
        <w:gridCol w:w="2070"/>
      </w:tblGrid>
      <w:tr w:rsidR="002B7469" w:rsidRPr="00877A9E" w:rsidTr="00707205">
        <w:tc>
          <w:tcPr>
            <w:tcW w:w="2268" w:type="dxa"/>
          </w:tcPr>
          <w:p w:rsidR="002B7469" w:rsidRPr="00877A9E" w:rsidRDefault="002B7469" w:rsidP="00B315E7">
            <w:pPr>
              <w:rPr>
                <w:rFonts w:cs="Arial"/>
                <w:b/>
                <w:szCs w:val="22"/>
              </w:rPr>
            </w:pPr>
            <w:r w:rsidRPr="00877A9E">
              <w:rPr>
                <w:rFonts w:cs="Arial"/>
                <w:b/>
                <w:szCs w:val="22"/>
              </w:rPr>
              <w:lastRenderedPageBreak/>
              <w:t>Action</w:t>
            </w:r>
          </w:p>
        </w:tc>
        <w:tc>
          <w:tcPr>
            <w:tcW w:w="1710" w:type="dxa"/>
          </w:tcPr>
          <w:p w:rsidR="002B7469" w:rsidRPr="00877A9E" w:rsidRDefault="002B7469" w:rsidP="00B315E7">
            <w:pPr>
              <w:rPr>
                <w:rFonts w:cs="Arial"/>
                <w:b/>
                <w:szCs w:val="22"/>
              </w:rPr>
            </w:pPr>
            <w:r w:rsidRPr="00877A9E">
              <w:rPr>
                <w:rFonts w:cs="Arial"/>
                <w:b/>
                <w:szCs w:val="22"/>
              </w:rPr>
              <w:t>Lead Implementers</w:t>
            </w:r>
          </w:p>
        </w:tc>
        <w:tc>
          <w:tcPr>
            <w:tcW w:w="3240" w:type="dxa"/>
          </w:tcPr>
          <w:p w:rsidR="002B7469" w:rsidRPr="00877A9E" w:rsidRDefault="002B7469" w:rsidP="00B315E7">
            <w:pPr>
              <w:rPr>
                <w:rFonts w:cs="Arial"/>
                <w:b/>
                <w:szCs w:val="22"/>
              </w:rPr>
            </w:pPr>
            <w:r w:rsidRPr="00877A9E">
              <w:rPr>
                <w:rFonts w:cs="Arial"/>
                <w:b/>
                <w:szCs w:val="22"/>
              </w:rPr>
              <w:t>Specifics</w:t>
            </w:r>
          </w:p>
        </w:tc>
        <w:tc>
          <w:tcPr>
            <w:tcW w:w="2070" w:type="dxa"/>
          </w:tcPr>
          <w:p w:rsidR="002B7469" w:rsidRDefault="002B7469" w:rsidP="00B315E7">
            <w:pPr>
              <w:rPr>
                <w:rFonts w:cs="Arial"/>
                <w:b/>
                <w:szCs w:val="22"/>
              </w:rPr>
            </w:pPr>
            <w:r>
              <w:rPr>
                <w:rFonts w:cs="Arial"/>
                <w:b/>
                <w:szCs w:val="22"/>
              </w:rPr>
              <w:t>Retain/Revise/</w:t>
            </w:r>
          </w:p>
          <w:p w:rsidR="002B7469" w:rsidRPr="00877A9E" w:rsidRDefault="002117D9" w:rsidP="00B315E7">
            <w:pPr>
              <w:rPr>
                <w:rFonts w:cs="Arial"/>
                <w:b/>
                <w:szCs w:val="22"/>
              </w:rPr>
            </w:pPr>
            <w:r>
              <w:rPr>
                <w:rFonts w:cs="Arial"/>
                <w:b/>
                <w:szCs w:val="22"/>
              </w:rPr>
              <w:t>Complete/</w:t>
            </w:r>
            <w:r w:rsidR="002B7469">
              <w:rPr>
                <w:rFonts w:cs="Arial"/>
                <w:b/>
                <w:szCs w:val="22"/>
              </w:rPr>
              <w:t>Delete</w:t>
            </w:r>
          </w:p>
        </w:tc>
      </w:tr>
      <w:tr w:rsidR="002B7469" w:rsidRPr="00877A9E" w:rsidTr="00707205">
        <w:tc>
          <w:tcPr>
            <w:tcW w:w="2268" w:type="dxa"/>
          </w:tcPr>
          <w:p w:rsidR="002B7469" w:rsidRPr="00877A9E" w:rsidRDefault="00757A91" w:rsidP="00757A91">
            <w:pPr>
              <w:rPr>
                <w:rFonts w:cs="Arial"/>
                <w:szCs w:val="22"/>
              </w:rPr>
            </w:pPr>
            <w:r>
              <w:rPr>
                <w:rFonts w:cs="Arial"/>
                <w:szCs w:val="22"/>
              </w:rPr>
              <w:t xml:space="preserve">Refine and expand use of </w:t>
            </w:r>
            <w:r w:rsidR="002B7469" w:rsidRPr="00877A9E">
              <w:rPr>
                <w:rFonts w:cs="Arial"/>
                <w:szCs w:val="22"/>
              </w:rPr>
              <w:t xml:space="preserve">school readiness </w:t>
            </w:r>
            <w:r>
              <w:rPr>
                <w:rFonts w:cs="Arial"/>
                <w:szCs w:val="22"/>
              </w:rPr>
              <w:t>measurement tool</w:t>
            </w:r>
            <w:r w:rsidR="007D4B41">
              <w:rPr>
                <w:rFonts w:cs="Arial"/>
                <w:szCs w:val="22"/>
              </w:rPr>
              <w:t>s</w:t>
            </w:r>
            <w:r>
              <w:rPr>
                <w:rFonts w:cs="Arial"/>
                <w:szCs w:val="22"/>
              </w:rPr>
              <w:t xml:space="preserve"> </w:t>
            </w:r>
            <w:r w:rsidR="002B7469" w:rsidRPr="00877A9E">
              <w:rPr>
                <w:rFonts w:cs="Arial"/>
                <w:szCs w:val="22"/>
              </w:rPr>
              <w:t>to improve early childhood education programs</w:t>
            </w:r>
          </w:p>
        </w:tc>
        <w:tc>
          <w:tcPr>
            <w:tcW w:w="1710" w:type="dxa"/>
          </w:tcPr>
          <w:p w:rsidR="002B7469" w:rsidRPr="00877A9E" w:rsidRDefault="002B7469" w:rsidP="00B315E7">
            <w:pPr>
              <w:rPr>
                <w:rFonts w:cs="Arial"/>
                <w:szCs w:val="22"/>
              </w:rPr>
            </w:pPr>
            <w:r w:rsidRPr="00877A9E">
              <w:rPr>
                <w:rFonts w:cs="Arial"/>
                <w:szCs w:val="22"/>
              </w:rPr>
              <w:t>State (ISBE), early childhood educators</w:t>
            </w:r>
          </w:p>
        </w:tc>
        <w:tc>
          <w:tcPr>
            <w:tcW w:w="3240" w:type="dxa"/>
          </w:tcPr>
          <w:p w:rsidR="002B7469" w:rsidRPr="00877A9E" w:rsidRDefault="007D4B41" w:rsidP="005F4FA2">
            <w:pPr>
              <w:rPr>
                <w:rFonts w:cs="Arial"/>
                <w:szCs w:val="22"/>
              </w:rPr>
            </w:pPr>
            <w:r>
              <w:rPr>
                <w:rFonts w:cs="Arial"/>
                <w:szCs w:val="22"/>
              </w:rPr>
              <w:t>Continue to develop and scale up</w:t>
            </w:r>
            <w:r w:rsidR="002B7469" w:rsidRPr="00877A9E">
              <w:rPr>
                <w:rFonts w:cs="Arial"/>
                <w:szCs w:val="22"/>
              </w:rPr>
              <w:t xml:space="preserve"> measure</w:t>
            </w:r>
            <w:r w:rsidR="00712DFF">
              <w:rPr>
                <w:rFonts w:cs="Arial"/>
                <w:szCs w:val="22"/>
              </w:rPr>
              <w:t>s</w:t>
            </w:r>
            <w:r w:rsidR="002B7469" w:rsidRPr="00877A9E">
              <w:rPr>
                <w:rFonts w:cs="Arial"/>
                <w:szCs w:val="22"/>
              </w:rPr>
              <w:t xml:space="preserve"> of school readiness for students entering kindergarten.  Use this to evaluate the effectiveness of various early childhood education programs at preparing students for success in school.  Link this assessment with the Student Information System described above.</w:t>
            </w:r>
          </w:p>
        </w:tc>
        <w:tc>
          <w:tcPr>
            <w:tcW w:w="2070" w:type="dxa"/>
          </w:tcPr>
          <w:p w:rsidR="002B7469" w:rsidRPr="00877A9E" w:rsidRDefault="00757A91" w:rsidP="00B315E7">
            <w:pPr>
              <w:rPr>
                <w:rFonts w:cs="Arial"/>
                <w:szCs w:val="22"/>
              </w:rPr>
            </w:pPr>
            <w:r>
              <w:rPr>
                <w:rFonts w:cs="Arial"/>
                <w:szCs w:val="22"/>
              </w:rPr>
              <w:t>Revise</w:t>
            </w:r>
          </w:p>
        </w:tc>
      </w:tr>
    </w:tbl>
    <w:p w:rsidR="00B6432C" w:rsidRDefault="00B6432C" w:rsidP="00FB2DE4">
      <w:pPr>
        <w:rPr>
          <w:b/>
          <w:szCs w:val="22"/>
        </w:rPr>
      </w:pPr>
    </w:p>
    <w:p w:rsidR="00114985" w:rsidRPr="00877A9E" w:rsidRDefault="00114985" w:rsidP="00B315E7">
      <w:pPr>
        <w:rPr>
          <w:b/>
          <w:szCs w:val="22"/>
        </w:rPr>
      </w:pPr>
      <w:r w:rsidRPr="00877A9E">
        <w:rPr>
          <w:b/>
          <w:szCs w:val="22"/>
        </w:rPr>
        <w:t>Implementation Examples:</w:t>
      </w:r>
    </w:p>
    <w:p w:rsidR="00456E79" w:rsidRPr="0031395E" w:rsidRDefault="00456E79" w:rsidP="00B315E7">
      <w:pPr>
        <w:pStyle w:val="ListParagraph"/>
        <w:numPr>
          <w:ilvl w:val="0"/>
          <w:numId w:val="8"/>
        </w:numPr>
      </w:pPr>
      <w:r w:rsidRPr="0031395E">
        <w:t xml:space="preserve">An Illinois State Board of Education steering committee </w:t>
      </w:r>
      <w:r w:rsidR="002B0B1A">
        <w:t xml:space="preserve">of local and national experts </w:t>
      </w:r>
      <w:r w:rsidR="0031395E">
        <w:t xml:space="preserve">crafted a tool to measure </w:t>
      </w:r>
      <w:r w:rsidRPr="0031395E">
        <w:t xml:space="preserve">school readiness </w:t>
      </w:r>
      <w:r w:rsidR="0031395E">
        <w:t xml:space="preserve">for students entering </w:t>
      </w:r>
      <w:r w:rsidR="00C341B3">
        <w:t>k</w:t>
      </w:r>
      <w:r w:rsidR="0031395E">
        <w:t>indergarten</w:t>
      </w:r>
      <w:r w:rsidRPr="0031395E">
        <w:t xml:space="preserve">.  The </w:t>
      </w:r>
      <w:hyperlink r:id="rId33" w:history="1">
        <w:r w:rsidRPr="0031395E">
          <w:rPr>
            <w:rStyle w:val="Hyperlink"/>
          </w:rPr>
          <w:t>Kindergarten Individual Development Survey</w:t>
        </w:r>
      </w:hyperlink>
      <w:r w:rsidRPr="0031395E">
        <w:t xml:space="preserve"> is in pilot phase of </w:t>
      </w:r>
      <w:hyperlink r:id="rId34" w:history="1">
        <w:r w:rsidRPr="0031395E">
          <w:rPr>
            <w:rStyle w:val="Hyperlink"/>
          </w:rPr>
          <w:t>implementation</w:t>
        </w:r>
      </w:hyperlink>
      <w:r w:rsidRPr="0031395E">
        <w:t xml:space="preserve">. </w:t>
      </w:r>
    </w:p>
    <w:p w:rsidR="002B7469" w:rsidRDefault="002B7469" w:rsidP="00B315E7">
      <w:pPr>
        <w:rPr>
          <w:b/>
          <w:szCs w:val="22"/>
        </w:rPr>
      </w:pPr>
    </w:p>
    <w:p w:rsidR="005D4D99" w:rsidRDefault="002B7469" w:rsidP="00B315E7">
      <w:pPr>
        <w:rPr>
          <w:b/>
          <w:szCs w:val="22"/>
        </w:rPr>
      </w:pPr>
      <w:r>
        <w:rPr>
          <w:b/>
          <w:szCs w:val="22"/>
        </w:rPr>
        <w:t>Rationale for Retain/</w:t>
      </w:r>
      <w:r w:rsidR="008869A5">
        <w:rPr>
          <w:b/>
          <w:szCs w:val="22"/>
        </w:rPr>
        <w:t>Revise/Complete/Delete</w:t>
      </w:r>
      <w:r>
        <w:rPr>
          <w:b/>
          <w:szCs w:val="22"/>
        </w:rPr>
        <w:t xml:space="preserve"> Assessment:</w:t>
      </w:r>
    </w:p>
    <w:p w:rsidR="00BD0A74" w:rsidRPr="00707205" w:rsidRDefault="00757A91" w:rsidP="00B315E7">
      <w:pPr>
        <w:pStyle w:val="ListParagraph"/>
        <w:numPr>
          <w:ilvl w:val="0"/>
          <w:numId w:val="8"/>
        </w:numPr>
        <w:sectPr w:rsidR="00BD0A74" w:rsidRPr="00707205" w:rsidSect="004A4553">
          <w:footerReference w:type="default" r:id="rId35"/>
          <w:pgSz w:w="12240" w:h="15840"/>
          <w:pgMar w:top="1080" w:right="1440" w:bottom="1080" w:left="1440" w:header="720" w:footer="720" w:gutter="0"/>
          <w:cols w:space="720"/>
          <w:docGrid w:linePitch="360"/>
        </w:sectPr>
      </w:pPr>
      <w:r>
        <w:t>The state has work underway to better measure school readiness</w:t>
      </w:r>
      <w:r w:rsidR="002117D9">
        <w:t>.</w:t>
      </w:r>
      <w:r w:rsidR="00456E79" w:rsidRPr="002117D9">
        <w:br w:type="page"/>
      </w:r>
    </w:p>
    <w:p w:rsidR="00114985" w:rsidRPr="00877A9E" w:rsidRDefault="00114985" w:rsidP="00B315E7">
      <w:pPr>
        <w:pStyle w:val="Heading3"/>
        <w:spacing w:before="0"/>
        <w:rPr>
          <w:rFonts w:ascii="Palatino Linotype" w:hAnsi="Palatino Linotype"/>
          <w:color w:val="000000"/>
        </w:rPr>
      </w:pPr>
      <w:r w:rsidRPr="00877A9E">
        <w:rPr>
          <w:rFonts w:ascii="Palatino Linotype" w:hAnsi="Palatino Linotype"/>
        </w:rPr>
        <w:lastRenderedPageBreak/>
        <w:t xml:space="preserve">Implementation Action Area #3: Improve Delivery of Workforce Development Services </w:t>
      </w:r>
    </w:p>
    <w:p w:rsidR="00114985" w:rsidRPr="00877A9E" w:rsidRDefault="00114985" w:rsidP="00B315E7">
      <w:pPr>
        <w:rPr>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8"/>
        <w:gridCol w:w="1710"/>
        <w:gridCol w:w="3690"/>
        <w:gridCol w:w="1980"/>
      </w:tblGrid>
      <w:tr w:rsidR="00D30803" w:rsidRPr="00877A9E" w:rsidTr="00707205">
        <w:tc>
          <w:tcPr>
            <w:tcW w:w="2538" w:type="dxa"/>
          </w:tcPr>
          <w:p w:rsidR="00D30803" w:rsidRPr="00877A9E" w:rsidRDefault="00D30803" w:rsidP="00B315E7">
            <w:pPr>
              <w:rPr>
                <w:rFonts w:cs="Arial"/>
                <w:b/>
                <w:szCs w:val="22"/>
              </w:rPr>
            </w:pPr>
            <w:r w:rsidRPr="00877A9E">
              <w:rPr>
                <w:rFonts w:cs="Arial"/>
                <w:b/>
                <w:szCs w:val="22"/>
              </w:rPr>
              <w:t>Action</w:t>
            </w:r>
          </w:p>
        </w:tc>
        <w:tc>
          <w:tcPr>
            <w:tcW w:w="1710" w:type="dxa"/>
          </w:tcPr>
          <w:p w:rsidR="00D30803" w:rsidRPr="00877A9E" w:rsidRDefault="00D30803" w:rsidP="00B315E7">
            <w:pPr>
              <w:rPr>
                <w:rFonts w:cs="Arial"/>
                <w:b/>
                <w:szCs w:val="22"/>
              </w:rPr>
            </w:pPr>
            <w:r w:rsidRPr="00877A9E">
              <w:rPr>
                <w:rFonts w:cs="Arial"/>
                <w:b/>
                <w:szCs w:val="22"/>
              </w:rPr>
              <w:t>Lead Implementers</w:t>
            </w:r>
          </w:p>
        </w:tc>
        <w:tc>
          <w:tcPr>
            <w:tcW w:w="3690" w:type="dxa"/>
          </w:tcPr>
          <w:p w:rsidR="00D30803" w:rsidRPr="00877A9E" w:rsidRDefault="00D30803" w:rsidP="00B315E7">
            <w:pPr>
              <w:rPr>
                <w:rFonts w:cs="Arial"/>
                <w:b/>
                <w:szCs w:val="22"/>
              </w:rPr>
            </w:pPr>
            <w:r w:rsidRPr="00877A9E">
              <w:rPr>
                <w:rFonts w:cs="Arial"/>
                <w:b/>
                <w:szCs w:val="22"/>
              </w:rPr>
              <w:t>Specifics</w:t>
            </w:r>
          </w:p>
        </w:tc>
        <w:tc>
          <w:tcPr>
            <w:tcW w:w="1980" w:type="dxa"/>
          </w:tcPr>
          <w:p w:rsidR="00D30803" w:rsidRDefault="00D30803" w:rsidP="00B315E7">
            <w:pPr>
              <w:rPr>
                <w:rFonts w:cs="Arial"/>
                <w:b/>
                <w:szCs w:val="22"/>
              </w:rPr>
            </w:pPr>
            <w:r>
              <w:rPr>
                <w:rFonts w:cs="Arial"/>
                <w:b/>
                <w:szCs w:val="22"/>
              </w:rPr>
              <w:t>Retain/Revise</w:t>
            </w:r>
          </w:p>
          <w:p w:rsidR="00D30803" w:rsidRPr="00877A9E" w:rsidRDefault="002117D9" w:rsidP="00B315E7">
            <w:pPr>
              <w:rPr>
                <w:rFonts w:cs="Arial"/>
                <w:b/>
                <w:szCs w:val="22"/>
              </w:rPr>
            </w:pPr>
            <w:r>
              <w:rPr>
                <w:rFonts w:cs="Arial"/>
                <w:b/>
                <w:szCs w:val="22"/>
              </w:rPr>
              <w:t>Complete/</w:t>
            </w:r>
            <w:r w:rsidR="00D30803">
              <w:rPr>
                <w:rFonts w:cs="Arial"/>
                <w:b/>
                <w:szCs w:val="22"/>
              </w:rPr>
              <w:t>Delete</w:t>
            </w:r>
          </w:p>
        </w:tc>
      </w:tr>
      <w:tr w:rsidR="00D30803" w:rsidRPr="00877A9E" w:rsidTr="00707205">
        <w:tc>
          <w:tcPr>
            <w:tcW w:w="2538" w:type="dxa"/>
          </w:tcPr>
          <w:p w:rsidR="00D30803" w:rsidRPr="00877A9E" w:rsidRDefault="00D30803" w:rsidP="00FB2DE4">
            <w:pPr>
              <w:rPr>
                <w:rFonts w:cs="Arial"/>
                <w:szCs w:val="22"/>
              </w:rPr>
            </w:pPr>
            <w:r w:rsidRPr="00877A9E">
              <w:rPr>
                <w:rFonts w:cs="Arial"/>
                <w:szCs w:val="22"/>
              </w:rPr>
              <w:t>Increase the flexibility and federal funding for workforce development and increase flexibility of State discretionary workforce funds</w:t>
            </w:r>
          </w:p>
        </w:tc>
        <w:tc>
          <w:tcPr>
            <w:tcW w:w="1710" w:type="dxa"/>
          </w:tcPr>
          <w:p w:rsidR="00D30803" w:rsidRPr="00877A9E" w:rsidRDefault="00D30803" w:rsidP="00B315E7">
            <w:pPr>
              <w:rPr>
                <w:rFonts w:cs="Arial"/>
                <w:szCs w:val="22"/>
              </w:rPr>
            </w:pPr>
            <w:r w:rsidRPr="00877A9E">
              <w:rPr>
                <w:rFonts w:cs="Arial"/>
                <w:szCs w:val="22"/>
              </w:rPr>
              <w:t>Federal, State (DCEO), WIBs, workforce providers</w:t>
            </w:r>
          </w:p>
        </w:tc>
        <w:tc>
          <w:tcPr>
            <w:tcW w:w="3690" w:type="dxa"/>
          </w:tcPr>
          <w:p w:rsidR="00D30803" w:rsidRPr="00877A9E" w:rsidRDefault="00D30803" w:rsidP="00B315E7">
            <w:pPr>
              <w:rPr>
                <w:rFonts w:cs="Arial"/>
                <w:szCs w:val="22"/>
              </w:rPr>
            </w:pPr>
            <w:r w:rsidRPr="00877A9E">
              <w:rPr>
                <w:rFonts w:cs="Arial"/>
                <w:szCs w:val="22"/>
              </w:rPr>
              <w:t xml:space="preserve">Modify the requirements of WIA funding to allow workforce boards to exercise more flexibility in how these funds are used.  Permit differences in how WIA funds are used between regions to reflect their different economic profiles and related training needs.  </w:t>
            </w:r>
          </w:p>
        </w:tc>
        <w:tc>
          <w:tcPr>
            <w:tcW w:w="1980" w:type="dxa"/>
          </w:tcPr>
          <w:p w:rsidR="00D30803" w:rsidRPr="00877A9E" w:rsidRDefault="00734A17" w:rsidP="00B315E7">
            <w:pPr>
              <w:rPr>
                <w:rFonts w:cs="Arial"/>
                <w:szCs w:val="22"/>
              </w:rPr>
            </w:pPr>
            <w:r>
              <w:rPr>
                <w:rFonts w:cs="Arial"/>
                <w:szCs w:val="22"/>
              </w:rPr>
              <w:t>Retain</w:t>
            </w:r>
          </w:p>
        </w:tc>
      </w:tr>
    </w:tbl>
    <w:p w:rsidR="00B6432C" w:rsidRDefault="00B6432C" w:rsidP="00FB2DE4">
      <w:pPr>
        <w:rPr>
          <w:b/>
          <w:szCs w:val="22"/>
        </w:rPr>
      </w:pPr>
    </w:p>
    <w:p w:rsidR="00114985" w:rsidRPr="00877A9E" w:rsidRDefault="00114985" w:rsidP="00B315E7">
      <w:pPr>
        <w:rPr>
          <w:b/>
          <w:szCs w:val="22"/>
        </w:rPr>
      </w:pPr>
      <w:r w:rsidRPr="00877A9E">
        <w:rPr>
          <w:b/>
          <w:szCs w:val="22"/>
        </w:rPr>
        <w:t>Implementation Examples:</w:t>
      </w:r>
    </w:p>
    <w:p w:rsidR="00482DC7" w:rsidRDefault="00315BC3" w:rsidP="00B315E7">
      <w:pPr>
        <w:pStyle w:val="ListParagraph"/>
        <w:numPr>
          <w:ilvl w:val="0"/>
          <w:numId w:val="8"/>
        </w:numPr>
      </w:pPr>
      <w:r>
        <w:t xml:space="preserve">The Department of Labor has dedicated a greater portion of federal </w:t>
      </w:r>
      <w:r w:rsidR="00641618">
        <w:t>Workforce Investment Act</w:t>
      </w:r>
      <w:r>
        <w:t xml:space="preserve"> dollars to be distributed through competitive grants.   </w:t>
      </w:r>
      <w:r w:rsidR="00114985" w:rsidRPr="00315BC3">
        <w:t xml:space="preserve">The Chicago region has </w:t>
      </w:r>
      <w:r>
        <w:t>responded and won several of these grants</w:t>
      </w:r>
      <w:r w:rsidR="00114985" w:rsidRPr="00315BC3">
        <w:t>.</w:t>
      </w:r>
      <w:r>
        <w:t xml:space="preserve"> </w:t>
      </w:r>
      <w:r w:rsidR="00641618">
        <w:t xml:space="preserve"> </w:t>
      </w:r>
      <w:r w:rsidR="00482DC7">
        <w:t xml:space="preserve">Harper College led a consortium of community colleges in a successful </w:t>
      </w:r>
      <w:hyperlink r:id="rId36" w:history="1">
        <w:r w:rsidR="00482DC7" w:rsidRPr="00641618">
          <w:rPr>
            <w:rStyle w:val="Hyperlink"/>
          </w:rPr>
          <w:t>application</w:t>
        </w:r>
      </w:hyperlink>
      <w:r w:rsidR="00482DC7">
        <w:t xml:space="preserve"> for $12.9 in funding to create the Illinois Network of Advanced Manufacturing.  </w:t>
      </w:r>
      <w:r w:rsidR="00641618">
        <w:t xml:space="preserve"> </w:t>
      </w:r>
      <w:r w:rsidR="00482DC7">
        <w:t xml:space="preserve">The </w:t>
      </w:r>
      <w:hyperlink r:id="rId37" w:history="1">
        <w:r w:rsidR="00482DC7" w:rsidRPr="00350A9D">
          <w:rPr>
            <w:rStyle w:val="Hyperlink"/>
          </w:rPr>
          <w:t>Calumet Green Manufacturing Partnership</w:t>
        </w:r>
      </w:hyperlink>
      <w:r w:rsidR="00482DC7">
        <w:t xml:space="preserve"> was funded by </w:t>
      </w:r>
      <w:r w:rsidR="00765556">
        <w:t>a</w:t>
      </w:r>
      <w:r w:rsidR="001145A8">
        <w:t>n</w:t>
      </w:r>
      <w:r w:rsidR="00765556">
        <w:t xml:space="preserve"> $850,000 grant from </w:t>
      </w:r>
      <w:r w:rsidR="00482DC7">
        <w:t xml:space="preserve">the Department of Labor’s Green Jobs Innovation Fund. </w:t>
      </w:r>
    </w:p>
    <w:p w:rsidR="00D30803" w:rsidRDefault="00315BC3" w:rsidP="00B315E7">
      <w:pPr>
        <w:pStyle w:val="ListParagraph"/>
        <w:numPr>
          <w:ilvl w:val="0"/>
          <w:numId w:val="8"/>
        </w:numPr>
      </w:pPr>
      <w:r>
        <w:t>Through its Learning Exchanges program</w:t>
      </w:r>
      <w:r w:rsidR="00482DC7">
        <w:t>,</w:t>
      </w:r>
      <w:r w:rsidR="00114985" w:rsidRPr="00315BC3">
        <w:t xml:space="preserve"> </w:t>
      </w:r>
      <w:r>
        <w:t xml:space="preserve">DCEO has issued several competitive </w:t>
      </w:r>
      <w:r w:rsidR="00350A9D">
        <w:t>requests for proposals</w:t>
      </w:r>
      <w:r>
        <w:t xml:space="preserve"> to fund partnerships focused on specific industries. </w:t>
      </w:r>
      <w:r w:rsidR="00350A9D">
        <w:t xml:space="preserve"> </w:t>
      </w:r>
      <w:r w:rsidR="00482DC7">
        <w:t xml:space="preserve">Learning Exchanges create curriculum, </w:t>
      </w:r>
      <w:r w:rsidR="001145A8">
        <w:t xml:space="preserve">develop </w:t>
      </w:r>
      <w:r w:rsidR="00482DC7">
        <w:t>online tools and information, expand internships, and support several other strategies to better prepare the workforce.</w:t>
      </w:r>
    </w:p>
    <w:p w:rsidR="00D30803" w:rsidRDefault="00D30803" w:rsidP="00B315E7">
      <w:pPr>
        <w:rPr>
          <w:b/>
          <w:szCs w:val="22"/>
        </w:rPr>
      </w:pPr>
    </w:p>
    <w:p w:rsidR="00734A17" w:rsidRDefault="00D30803" w:rsidP="00B315E7">
      <w:r>
        <w:rPr>
          <w:b/>
          <w:szCs w:val="22"/>
        </w:rPr>
        <w:t>Rationale for Retain/</w:t>
      </w:r>
      <w:r w:rsidR="008869A5">
        <w:rPr>
          <w:b/>
          <w:szCs w:val="22"/>
        </w:rPr>
        <w:t>Revise/Complete/Delete</w:t>
      </w:r>
      <w:r>
        <w:rPr>
          <w:b/>
          <w:szCs w:val="22"/>
        </w:rPr>
        <w:t xml:space="preserve"> Assessment:</w:t>
      </w:r>
      <w:r w:rsidR="00482DC7">
        <w:t xml:space="preserve">  </w:t>
      </w:r>
    </w:p>
    <w:p w:rsidR="00114985" w:rsidRDefault="00734A17" w:rsidP="00B315E7">
      <w:pPr>
        <w:pStyle w:val="ListParagraph"/>
        <w:numPr>
          <w:ilvl w:val="0"/>
          <w:numId w:val="20"/>
        </w:numPr>
      </w:pPr>
      <w:r>
        <w:t xml:space="preserve">Funding sources continue to be limited and demand for services continues to be high. </w:t>
      </w:r>
      <w:r w:rsidR="00114985" w:rsidRPr="00315BC3">
        <w:br w:type="page"/>
      </w:r>
    </w:p>
    <w:p w:rsidR="00734A17" w:rsidRPr="00315BC3" w:rsidRDefault="00734A17" w:rsidP="00FB2DE4"/>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1710"/>
        <w:gridCol w:w="3510"/>
        <w:gridCol w:w="1980"/>
      </w:tblGrid>
      <w:tr w:rsidR="00D30803" w:rsidRPr="00877A9E" w:rsidTr="00707205">
        <w:tc>
          <w:tcPr>
            <w:tcW w:w="2358" w:type="dxa"/>
          </w:tcPr>
          <w:p w:rsidR="00D30803" w:rsidRPr="00877A9E" w:rsidRDefault="00D30803" w:rsidP="00B315E7">
            <w:pPr>
              <w:rPr>
                <w:rFonts w:cs="Arial"/>
                <w:b/>
                <w:szCs w:val="22"/>
              </w:rPr>
            </w:pPr>
            <w:r w:rsidRPr="00877A9E">
              <w:rPr>
                <w:rFonts w:cs="Arial"/>
                <w:b/>
                <w:szCs w:val="22"/>
              </w:rPr>
              <w:t>Action</w:t>
            </w:r>
          </w:p>
        </w:tc>
        <w:tc>
          <w:tcPr>
            <w:tcW w:w="1710" w:type="dxa"/>
          </w:tcPr>
          <w:p w:rsidR="00D30803" w:rsidRPr="00877A9E" w:rsidRDefault="00D30803" w:rsidP="00B315E7">
            <w:pPr>
              <w:rPr>
                <w:rFonts w:cs="Arial"/>
                <w:b/>
                <w:szCs w:val="22"/>
              </w:rPr>
            </w:pPr>
            <w:r w:rsidRPr="00877A9E">
              <w:rPr>
                <w:rFonts w:cs="Arial"/>
                <w:b/>
                <w:szCs w:val="22"/>
              </w:rPr>
              <w:t>Lead Implementers</w:t>
            </w:r>
          </w:p>
        </w:tc>
        <w:tc>
          <w:tcPr>
            <w:tcW w:w="3510" w:type="dxa"/>
          </w:tcPr>
          <w:p w:rsidR="00D30803" w:rsidRPr="00877A9E" w:rsidRDefault="00D30803" w:rsidP="00B315E7">
            <w:pPr>
              <w:rPr>
                <w:rFonts w:cs="Arial"/>
                <w:b/>
                <w:szCs w:val="22"/>
              </w:rPr>
            </w:pPr>
            <w:r w:rsidRPr="00877A9E">
              <w:rPr>
                <w:rFonts w:cs="Arial"/>
                <w:b/>
                <w:szCs w:val="22"/>
              </w:rPr>
              <w:t>Specifics</w:t>
            </w:r>
          </w:p>
        </w:tc>
        <w:tc>
          <w:tcPr>
            <w:tcW w:w="1980" w:type="dxa"/>
          </w:tcPr>
          <w:p w:rsidR="00D30803" w:rsidRDefault="00D30803" w:rsidP="00B315E7">
            <w:pPr>
              <w:rPr>
                <w:rFonts w:cs="Arial"/>
                <w:b/>
                <w:szCs w:val="22"/>
              </w:rPr>
            </w:pPr>
            <w:r>
              <w:rPr>
                <w:rFonts w:cs="Arial"/>
                <w:b/>
                <w:szCs w:val="22"/>
              </w:rPr>
              <w:t>Retain/Revise/</w:t>
            </w:r>
          </w:p>
          <w:p w:rsidR="00D30803" w:rsidRPr="00877A9E" w:rsidRDefault="00D0040A" w:rsidP="00B315E7">
            <w:pPr>
              <w:rPr>
                <w:rFonts w:cs="Arial"/>
                <w:b/>
                <w:szCs w:val="22"/>
              </w:rPr>
            </w:pPr>
            <w:r>
              <w:rPr>
                <w:rFonts w:cs="Arial"/>
                <w:b/>
                <w:szCs w:val="22"/>
              </w:rPr>
              <w:t>Complete/</w:t>
            </w:r>
            <w:r w:rsidR="00D30803">
              <w:rPr>
                <w:rFonts w:cs="Arial"/>
                <w:b/>
                <w:szCs w:val="22"/>
              </w:rPr>
              <w:t>Delete</w:t>
            </w:r>
          </w:p>
        </w:tc>
      </w:tr>
      <w:tr w:rsidR="00D30803" w:rsidRPr="00877A9E" w:rsidTr="00707205">
        <w:tc>
          <w:tcPr>
            <w:tcW w:w="2358" w:type="dxa"/>
          </w:tcPr>
          <w:p w:rsidR="00D30803" w:rsidRPr="00877A9E" w:rsidRDefault="00D30803" w:rsidP="00FB2DE4">
            <w:pPr>
              <w:rPr>
                <w:rFonts w:cs="Arial"/>
                <w:szCs w:val="22"/>
              </w:rPr>
            </w:pPr>
            <w:r w:rsidRPr="00877A9E">
              <w:rPr>
                <w:rFonts w:cs="Arial"/>
                <w:szCs w:val="22"/>
              </w:rPr>
              <w:t>Investigate the use of other funding sources for workforce development</w:t>
            </w:r>
          </w:p>
        </w:tc>
        <w:tc>
          <w:tcPr>
            <w:tcW w:w="1710" w:type="dxa"/>
          </w:tcPr>
          <w:p w:rsidR="00D30803" w:rsidRPr="00877A9E" w:rsidRDefault="00D30803" w:rsidP="00B315E7">
            <w:pPr>
              <w:rPr>
                <w:rFonts w:cs="Arial"/>
                <w:szCs w:val="22"/>
              </w:rPr>
            </w:pPr>
            <w:r w:rsidRPr="00877A9E">
              <w:rPr>
                <w:rFonts w:cs="Arial"/>
                <w:szCs w:val="22"/>
              </w:rPr>
              <w:t>Nonprofit, philanthropic</w:t>
            </w:r>
          </w:p>
        </w:tc>
        <w:tc>
          <w:tcPr>
            <w:tcW w:w="3510" w:type="dxa"/>
          </w:tcPr>
          <w:p w:rsidR="00D30803" w:rsidRPr="00877A9E" w:rsidRDefault="00D30803" w:rsidP="00B315E7">
            <w:pPr>
              <w:rPr>
                <w:rFonts w:cs="Arial"/>
                <w:szCs w:val="22"/>
              </w:rPr>
            </w:pPr>
            <w:r w:rsidRPr="00877A9E">
              <w:rPr>
                <w:rFonts w:cs="Arial"/>
                <w:szCs w:val="22"/>
              </w:rPr>
              <w:t>Explore the use of more flexible funding sources such as CDBGs to be used more extensively for workforce development.  Create a region-wide documentation of existing public funding streams to allow the development of specific recommendations for funding changes.</w:t>
            </w:r>
          </w:p>
        </w:tc>
        <w:tc>
          <w:tcPr>
            <w:tcW w:w="1980" w:type="dxa"/>
          </w:tcPr>
          <w:p w:rsidR="00D30803" w:rsidRPr="00877A9E" w:rsidRDefault="00734A17" w:rsidP="00B315E7">
            <w:pPr>
              <w:rPr>
                <w:rFonts w:cs="Arial"/>
                <w:szCs w:val="22"/>
              </w:rPr>
            </w:pPr>
            <w:r>
              <w:rPr>
                <w:rFonts w:cs="Arial"/>
                <w:szCs w:val="22"/>
              </w:rPr>
              <w:t>Retain</w:t>
            </w:r>
          </w:p>
        </w:tc>
      </w:tr>
    </w:tbl>
    <w:p w:rsidR="00B6432C" w:rsidRDefault="00B6432C" w:rsidP="00FB2DE4">
      <w:pPr>
        <w:rPr>
          <w:b/>
          <w:szCs w:val="22"/>
        </w:rPr>
      </w:pPr>
    </w:p>
    <w:p w:rsidR="00114985" w:rsidRDefault="00114985" w:rsidP="00B315E7">
      <w:pPr>
        <w:rPr>
          <w:b/>
          <w:szCs w:val="22"/>
        </w:rPr>
      </w:pPr>
      <w:r w:rsidRPr="00877A9E">
        <w:rPr>
          <w:b/>
          <w:szCs w:val="22"/>
        </w:rPr>
        <w:t>Implementation Examples:</w:t>
      </w:r>
    </w:p>
    <w:p w:rsidR="009C64D2" w:rsidRPr="00B6432C" w:rsidRDefault="009C64D2" w:rsidP="00B315E7">
      <w:pPr>
        <w:pStyle w:val="ListParagraph"/>
        <w:numPr>
          <w:ilvl w:val="0"/>
          <w:numId w:val="11"/>
        </w:numPr>
        <w:rPr>
          <w:b/>
        </w:rPr>
      </w:pPr>
      <w:r>
        <w:t>In 2012, the Workforce Boards of Metropol</w:t>
      </w:r>
      <w:r w:rsidR="00EB2270">
        <w:t>itan Chicago published a region-</w:t>
      </w:r>
      <w:r>
        <w:t xml:space="preserve">wide report on public funding for workforce development. </w:t>
      </w:r>
      <w:r w:rsidR="00EB2270">
        <w:t xml:space="preserve"> </w:t>
      </w:r>
      <w:r>
        <w:t>The report, “</w:t>
      </w:r>
      <w:hyperlink r:id="rId38" w:history="1">
        <w:r w:rsidRPr="009C64D2">
          <w:rPr>
            <w:rStyle w:val="Hyperlink"/>
          </w:rPr>
          <w:t>An Analysis of Public Workforce Development Resources</w:t>
        </w:r>
      </w:hyperlink>
      <w:r w:rsidR="00EB2270">
        <w:t>,”</w:t>
      </w:r>
      <w:r>
        <w:t xml:space="preserve"> was funded by a grant awarded to the Metro WIBs by DCEO. </w:t>
      </w:r>
      <w:r w:rsidR="00EB2270">
        <w:t xml:space="preserve"> </w:t>
      </w:r>
      <w:r>
        <w:t xml:space="preserve">The report documents the amount of public investment in the region’s workforce system, describes the types of services and service providers, </w:t>
      </w:r>
      <w:r w:rsidR="001145A8">
        <w:t xml:space="preserve">profiles </w:t>
      </w:r>
      <w:r>
        <w:t xml:space="preserve">the target population, and includes recommendations. </w:t>
      </w:r>
    </w:p>
    <w:p w:rsidR="00114985" w:rsidRDefault="009C64D2" w:rsidP="00B315E7">
      <w:pPr>
        <w:pStyle w:val="ListParagraph"/>
        <w:numPr>
          <w:ilvl w:val="0"/>
          <w:numId w:val="10"/>
        </w:numPr>
      </w:pPr>
      <w:r w:rsidRPr="009C64D2">
        <w:t>In 2012, the several Chicago</w:t>
      </w:r>
      <w:r w:rsidR="00EB2270">
        <w:t>-</w:t>
      </w:r>
      <w:r w:rsidRPr="009C64D2">
        <w:t xml:space="preserve">area foundations launched the </w:t>
      </w:r>
      <w:hyperlink r:id="rId39" w:history="1">
        <w:r w:rsidR="00114985" w:rsidRPr="00EB2270">
          <w:rPr>
            <w:rStyle w:val="Hyperlink"/>
          </w:rPr>
          <w:t>Chicago</w:t>
        </w:r>
        <w:r w:rsidRPr="00EB2270">
          <w:rPr>
            <w:rStyle w:val="Hyperlink"/>
          </w:rPr>
          <w:t>land Workforce Funders Alliance</w:t>
        </w:r>
      </w:hyperlink>
      <w:r>
        <w:t xml:space="preserve">. </w:t>
      </w:r>
      <w:r w:rsidR="00EB2270">
        <w:t xml:space="preserve"> </w:t>
      </w:r>
      <w:r>
        <w:t>By working togeth</w:t>
      </w:r>
      <w:r w:rsidRPr="009C64D2">
        <w:t xml:space="preserve">er and pooling resources, the Alliance is able to address complex and regional workforce challenges. </w:t>
      </w:r>
      <w:r w:rsidR="00EB2270">
        <w:t xml:space="preserve"> </w:t>
      </w:r>
      <w:r w:rsidRPr="009C64D2">
        <w:t xml:space="preserve">The funding partners include the Boeing Company, </w:t>
      </w:r>
      <w:r w:rsidR="00E82DEB">
        <w:t>T</w:t>
      </w:r>
      <w:r w:rsidR="00E82DEB" w:rsidRPr="009C64D2">
        <w:t xml:space="preserve">he </w:t>
      </w:r>
      <w:r w:rsidRPr="009C64D2">
        <w:t xml:space="preserve">Chicago Community Trust, the Joyce Foundation, JP Morgan Chase, Polk Bros. Foundation, The </w:t>
      </w:r>
      <w:proofErr w:type="spellStart"/>
      <w:r w:rsidRPr="009C64D2">
        <w:t>Pritzker</w:t>
      </w:r>
      <w:proofErr w:type="spellEnd"/>
      <w:r w:rsidRPr="009C64D2">
        <w:t xml:space="preserve"> </w:t>
      </w:r>
      <w:proofErr w:type="spellStart"/>
      <w:r w:rsidRPr="009C64D2">
        <w:t>Traubert</w:t>
      </w:r>
      <w:proofErr w:type="spellEnd"/>
      <w:r w:rsidRPr="009C64D2">
        <w:t xml:space="preserve"> Family Foundation, the McCormick Foundation, and United Way of Metropolitan Chicago. </w:t>
      </w:r>
    </w:p>
    <w:p w:rsidR="00B6432C" w:rsidRDefault="001261BA" w:rsidP="00B315E7">
      <w:pPr>
        <w:pStyle w:val="ListParagraph"/>
        <w:numPr>
          <w:ilvl w:val="0"/>
          <w:numId w:val="10"/>
        </w:numPr>
      </w:pPr>
      <w:r>
        <w:t xml:space="preserve">The City of Chicago contributed $25 million from the lease of city parking meters to fund the Chicago Career Tech program over three years.  </w:t>
      </w:r>
      <w:r w:rsidR="00656A0E">
        <w:t xml:space="preserve">The program will serve </w:t>
      </w:r>
      <w:r w:rsidR="00656A0E" w:rsidRPr="00656A0E">
        <w:t xml:space="preserve">dislocated middle-income workers in Chicago. </w:t>
      </w:r>
      <w:r w:rsidR="00EB2270">
        <w:t xml:space="preserve"> </w:t>
      </w:r>
      <w:r w:rsidR="00656A0E" w:rsidRPr="00656A0E">
        <w:t>The intensive program provides a 6-month, 6-day</w:t>
      </w:r>
      <w:r w:rsidR="00EB2270">
        <w:t>/</w:t>
      </w:r>
      <w:r w:rsidR="00656A0E" w:rsidRPr="00656A0E">
        <w:t>week training program plus a training stipend for participants.</w:t>
      </w:r>
    </w:p>
    <w:p w:rsidR="00D30803" w:rsidRDefault="00D30803" w:rsidP="00B315E7">
      <w:pPr>
        <w:rPr>
          <w:b/>
          <w:szCs w:val="22"/>
        </w:rPr>
      </w:pPr>
    </w:p>
    <w:p w:rsidR="00734A17" w:rsidRDefault="00D30803" w:rsidP="00B315E7">
      <w:pPr>
        <w:rPr>
          <w:b/>
          <w:szCs w:val="22"/>
        </w:rPr>
      </w:pPr>
      <w:r>
        <w:rPr>
          <w:b/>
          <w:szCs w:val="22"/>
        </w:rPr>
        <w:t>Rationale for Retain/</w:t>
      </w:r>
      <w:r w:rsidR="008869A5">
        <w:rPr>
          <w:b/>
          <w:szCs w:val="22"/>
        </w:rPr>
        <w:t>Revise/Complete/Delete</w:t>
      </w:r>
      <w:r>
        <w:rPr>
          <w:b/>
          <w:szCs w:val="22"/>
        </w:rPr>
        <w:t xml:space="preserve"> Assessment:</w:t>
      </w:r>
    </w:p>
    <w:p w:rsidR="00734A17" w:rsidRDefault="00734A17" w:rsidP="00B315E7">
      <w:pPr>
        <w:pStyle w:val="ListParagraph"/>
        <w:numPr>
          <w:ilvl w:val="0"/>
          <w:numId w:val="21"/>
        </w:numPr>
      </w:pPr>
      <w:r>
        <w:t xml:space="preserve">Funding sources continue to be limited and demand for services continues to be high.  </w:t>
      </w:r>
      <w:r w:rsidRPr="00315BC3">
        <w:br w:type="page"/>
      </w:r>
    </w:p>
    <w:p w:rsidR="00734A17" w:rsidRDefault="00734A17" w:rsidP="00FB2DE4">
      <w:pPr>
        <w:rPr>
          <w:rFonts w:eastAsiaTheme="minorHAnsi" w:cstheme="minorBidi"/>
          <w:szCs w:val="2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1710"/>
        <w:gridCol w:w="3330"/>
        <w:gridCol w:w="1980"/>
      </w:tblGrid>
      <w:tr w:rsidR="00D30803" w:rsidRPr="00877A9E" w:rsidTr="00707205">
        <w:tc>
          <w:tcPr>
            <w:tcW w:w="2448" w:type="dxa"/>
          </w:tcPr>
          <w:p w:rsidR="00D30803" w:rsidRPr="00877A9E" w:rsidRDefault="00D30803" w:rsidP="00B315E7">
            <w:pPr>
              <w:rPr>
                <w:rFonts w:cs="Arial"/>
                <w:b/>
                <w:szCs w:val="22"/>
              </w:rPr>
            </w:pPr>
            <w:r w:rsidRPr="00877A9E">
              <w:rPr>
                <w:rFonts w:cs="Arial"/>
                <w:b/>
                <w:szCs w:val="22"/>
              </w:rPr>
              <w:t>Action</w:t>
            </w:r>
          </w:p>
        </w:tc>
        <w:tc>
          <w:tcPr>
            <w:tcW w:w="1710" w:type="dxa"/>
          </w:tcPr>
          <w:p w:rsidR="00D30803" w:rsidRPr="00877A9E" w:rsidRDefault="00D30803" w:rsidP="00B315E7">
            <w:pPr>
              <w:rPr>
                <w:rFonts w:cs="Arial"/>
                <w:b/>
                <w:szCs w:val="22"/>
              </w:rPr>
            </w:pPr>
            <w:r w:rsidRPr="00877A9E">
              <w:rPr>
                <w:rFonts w:cs="Arial"/>
                <w:b/>
                <w:szCs w:val="22"/>
              </w:rPr>
              <w:t>Lead Implementers</w:t>
            </w:r>
          </w:p>
        </w:tc>
        <w:tc>
          <w:tcPr>
            <w:tcW w:w="3330" w:type="dxa"/>
          </w:tcPr>
          <w:p w:rsidR="00D30803" w:rsidRPr="00877A9E" w:rsidRDefault="00D30803" w:rsidP="00B315E7">
            <w:pPr>
              <w:rPr>
                <w:rFonts w:cs="Arial"/>
                <w:b/>
                <w:szCs w:val="22"/>
              </w:rPr>
            </w:pPr>
            <w:r w:rsidRPr="00877A9E">
              <w:rPr>
                <w:rFonts w:cs="Arial"/>
                <w:b/>
                <w:szCs w:val="22"/>
              </w:rPr>
              <w:t>Specifics</w:t>
            </w:r>
          </w:p>
        </w:tc>
        <w:tc>
          <w:tcPr>
            <w:tcW w:w="1980" w:type="dxa"/>
          </w:tcPr>
          <w:p w:rsidR="00347660" w:rsidRDefault="00D30803" w:rsidP="00B315E7">
            <w:pPr>
              <w:rPr>
                <w:rFonts w:cs="Arial"/>
                <w:b/>
                <w:szCs w:val="22"/>
              </w:rPr>
            </w:pPr>
            <w:r>
              <w:rPr>
                <w:rFonts w:cs="Arial"/>
                <w:b/>
                <w:szCs w:val="22"/>
              </w:rPr>
              <w:t>Retain/</w:t>
            </w:r>
            <w:r w:rsidR="008869A5">
              <w:rPr>
                <w:rFonts w:cs="Arial"/>
                <w:b/>
                <w:szCs w:val="22"/>
              </w:rPr>
              <w:t>Revise/</w:t>
            </w:r>
          </w:p>
          <w:p w:rsidR="00D30803" w:rsidRPr="00877A9E" w:rsidRDefault="008869A5" w:rsidP="00B315E7">
            <w:pPr>
              <w:rPr>
                <w:rFonts w:cs="Arial"/>
                <w:b/>
                <w:szCs w:val="22"/>
              </w:rPr>
            </w:pPr>
            <w:r>
              <w:rPr>
                <w:rFonts w:cs="Arial"/>
                <w:b/>
                <w:szCs w:val="22"/>
              </w:rPr>
              <w:t>Complete/Delete</w:t>
            </w:r>
          </w:p>
        </w:tc>
      </w:tr>
      <w:tr w:rsidR="00D30803" w:rsidRPr="00877A9E" w:rsidTr="00707205">
        <w:tc>
          <w:tcPr>
            <w:tcW w:w="2448" w:type="dxa"/>
          </w:tcPr>
          <w:p w:rsidR="00D30803" w:rsidRPr="00877A9E" w:rsidRDefault="00D30803" w:rsidP="00FB2DE4">
            <w:pPr>
              <w:rPr>
                <w:rFonts w:cs="Arial"/>
                <w:szCs w:val="22"/>
              </w:rPr>
            </w:pPr>
            <w:r w:rsidRPr="00877A9E">
              <w:rPr>
                <w:rFonts w:cs="Arial"/>
                <w:szCs w:val="22"/>
              </w:rPr>
              <w:t>Monitor impact of more flexible funding and communicate outcomes</w:t>
            </w:r>
          </w:p>
        </w:tc>
        <w:tc>
          <w:tcPr>
            <w:tcW w:w="1710" w:type="dxa"/>
          </w:tcPr>
          <w:p w:rsidR="00D30803" w:rsidRPr="00877A9E" w:rsidRDefault="00D30803" w:rsidP="00B315E7">
            <w:pPr>
              <w:rPr>
                <w:rFonts w:cs="Arial"/>
                <w:szCs w:val="22"/>
              </w:rPr>
            </w:pPr>
            <w:r w:rsidRPr="00877A9E">
              <w:rPr>
                <w:rFonts w:cs="Arial"/>
                <w:szCs w:val="22"/>
              </w:rPr>
              <w:t xml:space="preserve">Federal, workforce providers </w:t>
            </w:r>
          </w:p>
        </w:tc>
        <w:tc>
          <w:tcPr>
            <w:tcW w:w="3330" w:type="dxa"/>
          </w:tcPr>
          <w:p w:rsidR="00D30803" w:rsidRPr="00877A9E" w:rsidRDefault="00D30803" w:rsidP="00B315E7">
            <w:pPr>
              <w:rPr>
                <w:rFonts w:cs="Arial"/>
                <w:szCs w:val="22"/>
              </w:rPr>
            </w:pPr>
            <w:r w:rsidRPr="00877A9E">
              <w:rPr>
                <w:rFonts w:cs="Arial"/>
                <w:szCs w:val="22"/>
              </w:rPr>
              <w:t xml:space="preserve">The outcomes of modified policies and funding streams should be result in better matches in workforce skills and business needs.  Routine and regular monitoring of effectiveness in meeting regional goals will be an ongoing activity. </w:t>
            </w:r>
          </w:p>
        </w:tc>
        <w:tc>
          <w:tcPr>
            <w:tcW w:w="1980" w:type="dxa"/>
          </w:tcPr>
          <w:p w:rsidR="00D30803" w:rsidRPr="00877A9E" w:rsidRDefault="00734A17" w:rsidP="00B315E7">
            <w:pPr>
              <w:rPr>
                <w:rFonts w:cs="Arial"/>
                <w:szCs w:val="22"/>
              </w:rPr>
            </w:pPr>
            <w:r>
              <w:rPr>
                <w:rFonts w:cs="Arial"/>
                <w:szCs w:val="22"/>
              </w:rPr>
              <w:t>Retain</w:t>
            </w:r>
          </w:p>
        </w:tc>
      </w:tr>
    </w:tbl>
    <w:p w:rsidR="00B6432C" w:rsidRDefault="00B6432C" w:rsidP="00FB2DE4">
      <w:pPr>
        <w:rPr>
          <w:b/>
          <w:szCs w:val="22"/>
        </w:rPr>
      </w:pPr>
    </w:p>
    <w:p w:rsidR="00114985" w:rsidRPr="00877A9E" w:rsidRDefault="00114985" w:rsidP="00B315E7">
      <w:pPr>
        <w:rPr>
          <w:b/>
          <w:szCs w:val="22"/>
        </w:rPr>
      </w:pPr>
      <w:r w:rsidRPr="00877A9E">
        <w:rPr>
          <w:b/>
          <w:szCs w:val="22"/>
        </w:rPr>
        <w:t>Implementation Examples:</w:t>
      </w:r>
    </w:p>
    <w:p w:rsidR="00715650" w:rsidRDefault="00715650" w:rsidP="00B315E7">
      <w:pPr>
        <w:pStyle w:val="ListParagraph"/>
        <w:numPr>
          <w:ilvl w:val="0"/>
          <w:numId w:val="8"/>
        </w:numPr>
      </w:pPr>
      <w:r>
        <w:t xml:space="preserve">New data systems will expand the current capacity to track outcomes and communicate the impact of grants and flexible funding. </w:t>
      </w:r>
      <w:r w:rsidR="00EB2270">
        <w:t xml:space="preserve"> </w:t>
      </w:r>
      <w:r>
        <w:t xml:space="preserve">For example, </w:t>
      </w:r>
      <w:r w:rsidRPr="00456E79">
        <w:t xml:space="preserve">Chapin Hall, along with many other stakeholders, has been engaged with the City of Chicago as part of the Thrive Chicago: Cradle to Careers effort, which will track progress toward achieving education and employment outcomes and indicators. </w:t>
      </w:r>
      <w:r w:rsidR="00EB2270">
        <w:t xml:space="preserve"> </w:t>
      </w:r>
      <w:r w:rsidRPr="00456E79">
        <w:t>Annual dashboards will be produced, starting in the fall of 2013.</w:t>
      </w:r>
    </w:p>
    <w:p w:rsidR="001261BA" w:rsidRDefault="001261BA" w:rsidP="00B315E7">
      <w:pPr>
        <w:pStyle w:val="ListParagraph"/>
        <w:numPr>
          <w:ilvl w:val="0"/>
          <w:numId w:val="8"/>
        </w:numPr>
      </w:pPr>
      <w:r>
        <w:t xml:space="preserve">Chapin Hall led the </w:t>
      </w:r>
      <w:hyperlink r:id="rId40" w:history="1">
        <w:r w:rsidRPr="00EB2270">
          <w:rPr>
            <w:rStyle w:val="Hyperlink"/>
          </w:rPr>
          <w:t>Chicago Career Tech Job Training Program Evaluation</w:t>
        </w:r>
      </w:hyperlink>
      <w:r>
        <w:t xml:space="preserve">. </w:t>
      </w:r>
      <w:r w:rsidR="00EB2270">
        <w:t xml:space="preserve"> </w:t>
      </w:r>
      <w:r>
        <w:t>The Chicago Career Tech program was an innovative technology training program launched in 2011</w:t>
      </w:r>
      <w:r w:rsidR="00656A0E">
        <w:t xml:space="preserve">. </w:t>
      </w:r>
      <w:r w:rsidR="00EB2270">
        <w:t xml:space="preserve"> </w:t>
      </w:r>
      <w:r w:rsidR="00656A0E" w:rsidRPr="00656A0E">
        <w:t>The evaluati</w:t>
      </w:r>
      <w:r w:rsidR="00656A0E">
        <w:t xml:space="preserve">on consists of three components: </w:t>
      </w:r>
      <w:r w:rsidR="00656A0E" w:rsidRPr="00656A0E">
        <w:t xml:space="preserve"> web surveys</w:t>
      </w:r>
      <w:r w:rsidR="00656A0E">
        <w:t xml:space="preserve"> </w:t>
      </w:r>
      <w:r w:rsidR="00656A0E" w:rsidRPr="00656A0E">
        <w:t xml:space="preserve">to assess immediate employment outcomes, quantitative analysis of individual-level pre- and post-program quarterly employment and wage data, and quasi-experimental quantitative analysis of individual-level employment and wage outcomes of Chicago Career Tech participants in relation to a </w:t>
      </w:r>
      <w:r w:rsidR="00EB2270">
        <w:t>comparative</w:t>
      </w:r>
      <w:r w:rsidR="00656A0E" w:rsidRPr="00656A0E">
        <w:t xml:space="preserve"> sample of WIA training participants</w:t>
      </w:r>
      <w:r w:rsidR="00E82DEB">
        <w:t>.</w:t>
      </w:r>
      <w:r>
        <w:t xml:space="preserve"> </w:t>
      </w:r>
    </w:p>
    <w:p w:rsidR="001261BA" w:rsidRDefault="00EA7B5B" w:rsidP="00B315E7">
      <w:pPr>
        <w:pStyle w:val="ListParagraph"/>
        <w:numPr>
          <w:ilvl w:val="0"/>
          <w:numId w:val="5"/>
        </w:numPr>
      </w:pPr>
      <w:r w:rsidRPr="00456E79">
        <w:t xml:space="preserve">Supported by a U.S. Department of Labor Workforce Innovation Fund grant, </w:t>
      </w:r>
      <w:r w:rsidR="00EB2270">
        <w:t>t</w:t>
      </w:r>
      <w:r w:rsidRPr="00456E79">
        <w:t xml:space="preserve">he Chicago Cook Workforce Partnership is developing the new </w:t>
      </w:r>
      <w:hyperlink r:id="rId41" w:history="1">
        <w:r w:rsidRPr="00EB2270">
          <w:rPr>
            <w:rStyle w:val="Hyperlink"/>
          </w:rPr>
          <w:t>Integrated Workforce Information System</w:t>
        </w:r>
      </w:hyperlink>
      <w:r w:rsidRPr="00456E79">
        <w:t xml:space="preserve"> (IWIS). </w:t>
      </w:r>
      <w:r w:rsidR="00EB2270">
        <w:t xml:space="preserve"> </w:t>
      </w:r>
      <w:r w:rsidRPr="00456E79">
        <w:t xml:space="preserve">IWIS will serve as an integrated management information system that will for the first time collect information across programs and </w:t>
      </w:r>
      <w:r w:rsidR="00EB2270">
        <w:t xml:space="preserve">both public and private </w:t>
      </w:r>
      <w:r w:rsidRPr="00456E79">
        <w:t>organizations on all those being served by the workforce development sys</w:t>
      </w:r>
      <w:r w:rsidR="00EB2270">
        <w:t>tem in Chicago and Cook County</w:t>
      </w:r>
      <w:r w:rsidRPr="00456E79">
        <w:t>.</w:t>
      </w:r>
      <w:r w:rsidR="00EB2270">
        <w:t xml:space="preserve"> </w:t>
      </w:r>
      <w:r w:rsidRPr="00456E79">
        <w:t xml:space="preserve"> IWIS will serve as a resource to service providers, funders, and program managers to improve service provision and also allow for the use of IWIS data for improved program performance management. </w:t>
      </w:r>
      <w:r w:rsidR="00EB2270">
        <w:t xml:space="preserve"> </w:t>
      </w:r>
      <w:r w:rsidRPr="00456E79">
        <w:t>IWIS will be developed and implemented during through 2014 and into early 2015.</w:t>
      </w:r>
    </w:p>
    <w:p w:rsidR="00482DC7" w:rsidRPr="00456E79" w:rsidRDefault="00482DC7" w:rsidP="00B315E7">
      <w:pPr>
        <w:pStyle w:val="ListParagraph"/>
        <w:numPr>
          <w:ilvl w:val="0"/>
          <w:numId w:val="5"/>
        </w:numPr>
      </w:pPr>
      <w:r>
        <w:t>The DCEO STEM Lear</w:t>
      </w:r>
      <w:r w:rsidR="009C64D2">
        <w:t xml:space="preserve">ning Exchanges are tasked with </w:t>
      </w:r>
      <w:r>
        <w:t>r</w:t>
      </w:r>
      <w:r w:rsidRPr="009C64D2">
        <w:t xml:space="preserve">eviewing performance of STEM </w:t>
      </w:r>
      <w:r w:rsidR="00EB2270">
        <w:t>programs of s</w:t>
      </w:r>
      <w:r w:rsidRPr="009C64D2">
        <w:t>tudy through assessments and work</w:t>
      </w:r>
      <w:r w:rsidR="009C64D2" w:rsidRPr="009C64D2">
        <w:t>ing</w:t>
      </w:r>
      <w:r w:rsidRPr="009C64D2">
        <w:t xml:space="preserve"> with school partners to continuously improve performanc</w:t>
      </w:r>
      <w:r w:rsidR="009C64D2" w:rsidRPr="009C64D2">
        <w:t>e.</w:t>
      </w:r>
    </w:p>
    <w:p w:rsidR="00D30803" w:rsidRDefault="00D30803" w:rsidP="00B315E7">
      <w:pPr>
        <w:rPr>
          <w:b/>
          <w:szCs w:val="22"/>
        </w:rPr>
      </w:pPr>
    </w:p>
    <w:p w:rsidR="00734A17" w:rsidRDefault="00D30803" w:rsidP="00B315E7">
      <w:pPr>
        <w:rPr>
          <w:b/>
          <w:szCs w:val="22"/>
        </w:rPr>
      </w:pPr>
      <w:r>
        <w:rPr>
          <w:b/>
          <w:szCs w:val="22"/>
        </w:rPr>
        <w:t>Rationale for Retain/</w:t>
      </w:r>
      <w:r w:rsidR="008869A5">
        <w:rPr>
          <w:b/>
          <w:szCs w:val="22"/>
        </w:rPr>
        <w:t>Revise/Complete/Delete</w:t>
      </w:r>
      <w:r>
        <w:rPr>
          <w:b/>
          <w:szCs w:val="22"/>
        </w:rPr>
        <w:t xml:space="preserve"> Assessment:</w:t>
      </w:r>
    </w:p>
    <w:p w:rsidR="00B6432C" w:rsidRPr="00FB2DE4" w:rsidRDefault="00734A17" w:rsidP="00B315E7">
      <w:pPr>
        <w:pStyle w:val="ListParagraph"/>
        <w:numPr>
          <w:ilvl w:val="0"/>
          <w:numId w:val="22"/>
        </w:numPr>
      </w:pPr>
      <w:r w:rsidRPr="00FB2DE4">
        <w:t xml:space="preserve">Evaluations continue to provide important information that can guide future investments. </w:t>
      </w:r>
      <w:r w:rsidR="00B6432C" w:rsidRPr="00FB2DE4">
        <w:br w:type="page"/>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8"/>
        <w:gridCol w:w="1710"/>
        <w:gridCol w:w="3240"/>
        <w:gridCol w:w="1980"/>
      </w:tblGrid>
      <w:tr w:rsidR="00FF6A0C" w:rsidRPr="00877A9E" w:rsidTr="00B315E7">
        <w:tc>
          <w:tcPr>
            <w:tcW w:w="2808" w:type="dxa"/>
            <w:tcBorders>
              <w:top w:val="single" w:sz="4" w:space="0" w:color="000000"/>
              <w:left w:val="single" w:sz="4" w:space="0" w:color="000000"/>
              <w:bottom w:val="single" w:sz="4" w:space="0" w:color="000000"/>
              <w:right w:val="single" w:sz="4" w:space="0" w:color="000000"/>
            </w:tcBorders>
          </w:tcPr>
          <w:p w:rsidR="00FF6A0C" w:rsidRPr="00877A9E" w:rsidRDefault="00FF6A0C" w:rsidP="00FB2DE4">
            <w:pPr>
              <w:rPr>
                <w:rFonts w:cs="Arial"/>
                <w:b/>
                <w:szCs w:val="22"/>
              </w:rPr>
            </w:pPr>
            <w:r w:rsidRPr="00877A9E">
              <w:rPr>
                <w:rFonts w:cs="Arial"/>
                <w:b/>
                <w:szCs w:val="22"/>
              </w:rPr>
              <w:lastRenderedPageBreak/>
              <w:t>Action</w:t>
            </w:r>
          </w:p>
        </w:tc>
        <w:tc>
          <w:tcPr>
            <w:tcW w:w="1710" w:type="dxa"/>
            <w:tcBorders>
              <w:top w:val="single" w:sz="4" w:space="0" w:color="000000"/>
              <w:left w:val="single" w:sz="4" w:space="0" w:color="000000"/>
              <w:bottom w:val="single" w:sz="4" w:space="0" w:color="000000"/>
              <w:right w:val="single" w:sz="4" w:space="0" w:color="000000"/>
            </w:tcBorders>
          </w:tcPr>
          <w:p w:rsidR="00FF6A0C" w:rsidRPr="00877A9E" w:rsidRDefault="00FF6A0C" w:rsidP="00B315E7">
            <w:pPr>
              <w:rPr>
                <w:rFonts w:cs="Arial"/>
                <w:b/>
                <w:szCs w:val="22"/>
              </w:rPr>
            </w:pPr>
            <w:r w:rsidRPr="00877A9E">
              <w:rPr>
                <w:rFonts w:cs="Arial"/>
                <w:b/>
                <w:szCs w:val="22"/>
              </w:rPr>
              <w:t>Lead Implementers</w:t>
            </w:r>
          </w:p>
        </w:tc>
        <w:tc>
          <w:tcPr>
            <w:tcW w:w="3240" w:type="dxa"/>
            <w:tcBorders>
              <w:top w:val="single" w:sz="4" w:space="0" w:color="000000"/>
              <w:left w:val="single" w:sz="4" w:space="0" w:color="000000"/>
              <w:bottom w:val="single" w:sz="4" w:space="0" w:color="000000"/>
              <w:right w:val="single" w:sz="4" w:space="0" w:color="000000"/>
            </w:tcBorders>
          </w:tcPr>
          <w:p w:rsidR="00FF6A0C" w:rsidRPr="00877A9E" w:rsidRDefault="00FF6A0C" w:rsidP="00B315E7">
            <w:pPr>
              <w:rPr>
                <w:rFonts w:cs="Arial"/>
                <w:b/>
                <w:szCs w:val="22"/>
              </w:rPr>
            </w:pPr>
            <w:r w:rsidRPr="00877A9E">
              <w:rPr>
                <w:rFonts w:cs="Arial"/>
                <w:b/>
                <w:szCs w:val="22"/>
              </w:rPr>
              <w:t>Specifics</w:t>
            </w:r>
          </w:p>
        </w:tc>
        <w:tc>
          <w:tcPr>
            <w:tcW w:w="1980" w:type="dxa"/>
            <w:tcBorders>
              <w:top w:val="single" w:sz="4" w:space="0" w:color="000000"/>
              <w:left w:val="single" w:sz="4" w:space="0" w:color="000000"/>
              <w:bottom w:val="single" w:sz="4" w:space="0" w:color="000000"/>
              <w:right w:val="single" w:sz="4" w:space="0" w:color="000000"/>
            </w:tcBorders>
          </w:tcPr>
          <w:p w:rsidR="00FF6A0C" w:rsidRDefault="00FF6A0C" w:rsidP="00B315E7">
            <w:pPr>
              <w:rPr>
                <w:rFonts w:cs="Arial"/>
                <w:b/>
                <w:szCs w:val="22"/>
              </w:rPr>
            </w:pPr>
            <w:r>
              <w:rPr>
                <w:rFonts w:cs="Arial"/>
                <w:b/>
                <w:szCs w:val="22"/>
              </w:rPr>
              <w:t>Retain/Revise/</w:t>
            </w:r>
          </w:p>
          <w:p w:rsidR="00FF6A0C" w:rsidRPr="00877A9E" w:rsidRDefault="00FB2DE4" w:rsidP="00B315E7">
            <w:pPr>
              <w:rPr>
                <w:rFonts w:cs="Arial"/>
                <w:b/>
                <w:szCs w:val="22"/>
              </w:rPr>
            </w:pPr>
            <w:r>
              <w:rPr>
                <w:rFonts w:cs="Arial"/>
                <w:b/>
                <w:szCs w:val="22"/>
              </w:rPr>
              <w:t>Complete/</w:t>
            </w:r>
            <w:r w:rsidR="00FF6A0C">
              <w:rPr>
                <w:rFonts w:cs="Arial"/>
                <w:b/>
                <w:szCs w:val="22"/>
              </w:rPr>
              <w:t>Delete</w:t>
            </w:r>
          </w:p>
        </w:tc>
      </w:tr>
      <w:tr w:rsidR="00FF6A0C" w:rsidRPr="00877A9E" w:rsidTr="00B315E7">
        <w:tc>
          <w:tcPr>
            <w:tcW w:w="2808" w:type="dxa"/>
            <w:tcBorders>
              <w:top w:val="single" w:sz="4" w:space="0" w:color="000000"/>
              <w:left w:val="single" w:sz="4" w:space="0" w:color="000000"/>
              <w:bottom w:val="single" w:sz="4" w:space="0" w:color="000000"/>
              <w:right w:val="single" w:sz="4" w:space="0" w:color="000000"/>
            </w:tcBorders>
          </w:tcPr>
          <w:p w:rsidR="00FF6A0C" w:rsidRPr="00877A9E" w:rsidRDefault="00FF6A0C" w:rsidP="00FB2DE4">
            <w:pPr>
              <w:rPr>
                <w:rFonts w:cs="Arial"/>
                <w:szCs w:val="22"/>
              </w:rPr>
            </w:pPr>
            <w:r w:rsidRPr="00877A9E">
              <w:rPr>
                <w:rFonts w:cs="Arial"/>
                <w:szCs w:val="22"/>
              </w:rPr>
              <w:t xml:space="preserve">Strengthen community-focused provision of workforce services </w:t>
            </w:r>
          </w:p>
        </w:tc>
        <w:tc>
          <w:tcPr>
            <w:tcW w:w="1710" w:type="dxa"/>
            <w:tcBorders>
              <w:top w:val="single" w:sz="4" w:space="0" w:color="000000"/>
              <w:left w:val="single" w:sz="4" w:space="0" w:color="000000"/>
              <w:bottom w:val="single" w:sz="4" w:space="0" w:color="000000"/>
              <w:right w:val="single" w:sz="4" w:space="0" w:color="000000"/>
            </w:tcBorders>
          </w:tcPr>
          <w:p w:rsidR="00FF6A0C" w:rsidRPr="00877A9E" w:rsidRDefault="00FF6A0C" w:rsidP="00B315E7">
            <w:pPr>
              <w:rPr>
                <w:rFonts w:cs="Arial"/>
                <w:szCs w:val="22"/>
              </w:rPr>
            </w:pPr>
            <w:r w:rsidRPr="00877A9E">
              <w:rPr>
                <w:rFonts w:cs="Arial"/>
                <w:szCs w:val="22"/>
              </w:rPr>
              <w:t>State (DCEO, Governor’s Office), community based organizations, business community, WIBs, other workforce funders</w:t>
            </w:r>
          </w:p>
        </w:tc>
        <w:tc>
          <w:tcPr>
            <w:tcW w:w="3240" w:type="dxa"/>
            <w:tcBorders>
              <w:top w:val="single" w:sz="4" w:space="0" w:color="000000"/>
              <w:left w:val="single" w:sz="4" w:space="0" w:color="000000"/>
              <w:bottom w:val="single" w:sz="4" w:space="0" w:color="000000"/>
              <w:right w:val="single" w:sz="4" w:space="0" w:color="000000"/>
            </w:tcBorders>
          </w:tcPr>
          <w:p w:rsidR="00FF6A0C" w:rsidRPr="00877A9E" w:rsidRDefault="00FF6A0C" w:rsidP="00B315E7">
            <w:pPr>
              <w:rPr>
                <w:rFonts w:cs="Arial"/>
                <w:szCs w:val="22"/>
              </w:rPr>
            </w:pPr>
            <w:r w:rsidRPr="00877A9E">
              <w:rPr>
                <w:rFonts w:cs="Arial"/>
                <w:szCs w:val="22"/>
              </w:rPr>
              <w:t xml:space="preserve">Continue offering workforce development services through community-based organizations, in conjunction with other services.  Evaluate local community-focused programs, determine which approaches are most effective, and promote further use of these programs. </w:t>
            </w:r>
          </w:p>
        </w:tc>
        <w:tc>
          <w:tcPr>
            <w:tcW w:w="1980" w:type="dxa"/>
            <w:tcBorders>
              <w:top w:val="single" w:sz="4" w:space="0" w:color="000000"/>
              <w:left w:val="single" w:sz="4" w:space="0" w:color="000000"/>
              <w:bottom w:val="single" w:sz="4" w:space="0" w:color="000000"/>
              <w:right w:val="single" w:sz="4" w:space="0" w:color="000000"/>
            </w:tcBorders>
          </w:tcPr>
          <w:p w:rsidR="00FF6A0C" w:rsidRPr="00877A9E" w:rsidRDefault="00FB2DE4" w:rsidP="00B315E7">
            <w:pPr>
              <w:rPr>
                <w:rFonts w:cs="Arial"/>
                <w:szCs w:val="22"/>
              </w:rPr>
            </w:pPr>
            <w:r>
              <w:rPr>
                <w:rFonts w:cs="Arial"/>
                <w:szCs w:val="22"/>
              </w:rPr>
              <w:t>R</w:t>
            </w:r>
            <w:r w:rsidR="00734A17">
              <w:rPr>
                <w:rFonts w:cs="Arial"/>
                <w:szCs w:val="22"/>
              </w:rPr>
              <w:t>etain</w:t>
            </w:r>
          </w:p>
        </w:tc>
      </w:tr>
    </w:tbl>
    <w:p w:rsidR="00B6432C" w:rsidRDefault="00B6432C" w:rsidP="00FB2DE4">
      <w:pPr>
        <w:rPr>
          <w:b/>
          <w:szCs w:val="22"/>
        </w:rPr>
      </w:pPr>
    </w:p>
    <w:p w:rsidR="00114985" w:rsidRDefault="00114985" w:rsidP="00B315E7">
      <w:pPr>
        <w:rPr>
          <w:b/>
          <w:szCs w:val="22"/>
        </w:rPr>
      </w:pPr>
      <w:r w:rsidRPr="00877A9E">
        <w:rPr>
          <w:b/>
          <w:szCs w:val="22"/>
        </w:rPr>
        <w:t>Implementation Examples:</w:t>
      </w:r>
    </w:p>
    <w:p w:rsidR="00BC7AA7" w:rsidRPr="00656A0E" w:rsidRDefault="009C64D2" w:rsidP="00B315E7">
      <w:pPr>
        <w:pStyle w:val="ListParagraph"/>
        <w:numPr>
          <w:ilvl w:val="0"/>
          <w:numId w:val="12"/>
        </w:numPr>
        <w:rPr>
          <w:b/>
        </w:rPr>
      </w:pPr>
      <w:r>
        <w:t>In 2012, Chapin Hall completed</w:t>
      </w:r>
      <w:r w:rsidR="001261BA">
        <w:t xml:space="preserve"> a report identifying successful workforce development programs and exploring what makes them succeed, and how the factors that contribute to success can be measured to help improve the workforce development system.</w:t>
      </w:r>
      <w:r w:rsidR="00E1663A">
        <w:t xml:space="preserve"> </w:t>
      </w:r>
      <w:r w:rsidR="001261BA">
        <w:t xml:space="preserve"> The report, “</w:t>
      </w:r>
      <w:hyperlink r:id="rId42" w:history="1">
        <w:r w:rsidR="00E1663A">
          <w:rPr>
            <w:rStyle w:val="Hyperlink"/>
          </w:rPr>
          <w:t>Inside the Black Box: What Makes Workforce Development Programs Successful?</w:t>
        </w:r>
      </w:hyperlink>
      <w:r w:rsidR="001261BA">
        <w:t>” includes several recommendations, including improved data systems to more accurately meas</w:t>
      </w:r>
      <w:r w:rsidR="00656A0E">
        <w:t>ure program impact and outcomes.</w:t>
      </w:r>
    </w:p>
    <w:p w:rsidR="00656A0E" w:rsidRPr="00707205" w:rsidRDefault="00656A0E" w:rsidP="00B315E7">
      <w:pPr>
        <w:pStyle w:val="ListParagraph"/>
        <w:numPr>
          <w:ilvl w:val="0"/>
          <w:numId w:val="12"/>
        </w:numPr>
        <w:rPr>
          <w:b/>
        </w:rPr>
      </w:pPr>
      <w:r>
        <w:t>Numerous innovations and partnerships are expanding and strengthening community focused workforce services.  For example, the Calumet Green Manufacturing Partnership (CGMP) is a collaborative effort focused on supporting and enhancing the manufacturing industry in South Suburban Cook County and the south side of Chicago. By building partnerships between employers, the public workforce system, and training providers, the CGMP develops the skills of the local workforce to meet the labor needs of local manufacturing companies, with an emphasis on green skills, industries and manufacturing practices.</w:t>
      </w:r>
    </w:p>
    <w:p w:rsidR="00D173C0" w:rsidRPr="00941F4F" w:rsidRDefault="00D173C0" w:rsidP="00B315E7">
      <w:pPr>
        <w:pStyle w:val="ListParagraph"/>
        <w:numPr>
          <w:ilvl w:val="0"/>
          <w:numId w:val="12"/>
        </w:numPr>
        <w:rPr>
          <w:b/>
        </w:rPr>
      </w:pPr>
      <w:r>
        <w:t xml:space="preserve">The DuPage Workforce Board approved a second “one-stop” facility in the county in 2013. </w:t>
      </w:r>
    </w:p>
    <w:p w:rsidR="00C81F2F" w:rsidRPr="00570AE7" w:rsidRDefault="00C81F2F" w:rsidP="00C81F2F">
      <w:pPr>
        <w:pStyle w:val="ListParagraph"/>
        <w:numPr>
          <w:ilvl w:val="0"/>
          <w:numId w:val="12"/>
        </w:numPr>
        <w:rPr>
          <w:sz w:val="24"/>
        </w:rPr>
      </w:pPr>
      <w:r w:rsidRPr="00570AE7">
        <w:rPr>
          <w:rFonts w:cs="Arial"/>
          <w:color w:val="2D261A"/>
          <w:szCs w:val="21"/>
        </w:rPr>
        <w:t xml:space="preserve">Authorized by the Affordable Care Act, the Health Profession Opportunity Grants (HPOG) program </w:t>
      </w:r>
      <w:r>
        <w:rPr>
          <w:rFonts w:cs="Arial"/>
          <w:color w:val="2D261A"/>
          <w:szCs w:val="21"/>
        </w:rPr>
        <w:t>has been led by a regional collaboration between the Workforce Inves</w:t>
      </w:r>
      <w:r w:rsidR="00941F4F">
        <w:rPr>
          <w:rFonts w:cs="Arial"/>
          <w:color w:val="2D261A"/>
          <w:szCs w:val="21"/>
        </w:rPr>
        <w:t>tment Boards, several community-</w:t>
      </w:r>
      <w:r>
        <w:rPr>
          <w:rFonts w:cs="Arial"/>
          <w:color w:val="2D261A"/>
          <w:szCs w:val="21"/>
        </w:rPr>
        <w:t xml:space="preserve">based organizations, community colleges, and human service agencies. </w:t>
      </w:r>
      <w:r w:rsidR="00941F4F">
        <w:rPr>
          <w:rFonts w:cs="Arial"/>
          <w:color w:val="2D261A"/>
          <w:szCs w:val="21"/>
        </w:rPr>
        <w:t xml:space="preserve"> </w:t>
      </w:r>
      <w:r>
        <w:rPr>
          <w:rFonts w:cs="Arial"/>
          <w:color w:val="2D261A"/>
          <w:szCs w:val="21"/>
        </w:rPr>
        <w:t>The program provides education and training to low income individuals in high</w:t>
      </w:r>
      <w:r w:rsidR="00941F4F">
        <w:rPr>
          <w:rFonts w:cs="Arial"/>
          <w:color w:val="2D261A"/>
          <w:szCs w:val="21"/>
        </w:rPr>
        <w:t>-</w:t>
      </w:r>
      <w:r>
        <w:rPr>
          <w:rFonts w:cs="Arial"/>
          <w:color w:val="2D261A"/>
          <w:szCs w:val="21"/>
        </w:rPr>
        <w:t xml:space="preserve">demand health care occupations. </w:t>
      </w:r>
    </w:p>
    <w:p w:rsidR="00C81F2F" w:rsidRPr="00FF6A0C" w:rsidRDefault="00C81F2F" w:rsidP="00941F4F">
      <w:pPr>
        <w:pStyle w:val="ListParagraph"/>
        <w:rPr>
          <w:b/>
        </w:rPr>
      </w:pPr>
    </w:p>
    <w:p w:rsidR="00FF6A0C" w:rsidRDefault="00FF6A0C" w:rsidP="00B315E7">
      <w:pPr>
        <w:rPr>
          <w:b/>
          <w:szCs w:val="22"/>
        </w:rPr>
      </w:pPr>
      <w:r>
        <w:rPr>
          <w:b/>
          <w:szCs w:val="22"/>
        </w:rPr>
        <w:t>Rationale for Retain/</w:t>
      </w:r>
      <w:r w:rsidR="008869A5">
        <w:rPr>
          <w:b/>
          <w:szCs w:val="22"/>
        </w:rPr>
        <w:t>Revise/Complete/Delete</w:t>
      </w:r>
      <w:r>
        <w:rPr>
          <w:b/>
          <w:szCs w:val="22"/>
        </w:rPr>
        <w:t xml:space="preserve"> Assessment:</w:t>
      </w:r>
    </w:p>
    <w:p w:rsidR="00734A17" w:rsidRPr="00FB2DE4" w:rsidRDefault="00734A17" w:rsidP="00B315E7">
      <w:pPr>
        <w:pStyle w:val="ListParagraph"/>
        <w:numPr>
          <w:ilvl w:val="0"/>
          <w:numId w:val="23"/>
        </w:numPr>
      </w:pPr>
      <w:r w:rsidRPr="00FB2DE4">
        <w:t xml:space="preserve">Local service providers are a key part of the system. </w:t>
      </w:r>
    </w:p>
    <w:sectPr w:rsidR="00734A17" w:rsidRPr="00FB2DE4" w:rsidSect="0073271F">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10" w:rsidRDefault="00272D10" w:rsidP="00272D10">
      <w:r>
        <w:separator/>
      </w:r>
    </w:p>
  </w:endnote>
  <w:endnote w:type="continuationSeparator" w:id="0">
    <w:p w:rsidR="00272D10" w:rsidRDefault="00272D10" w:rsidP="0027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24662"/>
      <w:docPartObj>
        <w:docPartGallery w:val="Page Numbers (Bottom of Page)"/>
        <w:docPartUnique/>
      </w:docPartObj>
    </w:sdtPr>
    <w:sdtEndPr/>
    <w:sdtContent>
      <w:sdt>
        <w:sdtPr>
          <w:id w:val="-1669238322"/>
          <w:docPartObj>
            <w:docPartGallery w:val="Page Numbers (Top of Page)"/>
            <w:docPartUnique/>
          </w:docPartObj>
        </w:sdtPr>
        <w:sdtEndPr/>
        <w:sdtContent>
          <w:p w:rsidR="00272D10" w:rsidRDefault="00272D10">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013265">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13265">
              <w:rPr>
                <w:b/>
                <w:bCs/>
                <w:noProof/>
              </w:rPr>
              <w:t>14</w:t>
            </w:r>
            <w:r>
              <w:rPr>
                <w:b/>
                <w:bCs/>
                <w:sz w:val="24"/>
              </w:rPr>
              <w:fldChar w:fldCharType="end"/>
            </w:r>
          </w:p>
        </w:sdtContent>
      </w:sdt>
    </w:sdtContent>
  </w:sdt>
  <w:p w:rsidR="00272D10" w:rsidRDefault="00272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10" w:rsidRDefault="00272D10" w:rsidP="00272D10">
      <w:r>
        <w:separator/>
      </w:r>
    </w:p>
  </w:footnote>
  <w:footnote w:type="continuationSeparator" w:id="0">
    <w:p w:rsidR="00272D10" w:rsidRDefault="00272D10" w:rsidP="00272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38D"/>
    <w:multiLevelType w:val="hybridMultilevel"/>
    <w:tmpl w:val="BE14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A01CD"/>
    <w:multiLevelType w:val="hybridMultilevel"/>
    <w:tmpl w:val="67CC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85F16"/>
    <w:multiLevelType w:val="hybridMultilevel"/>
    <w:tmpl w:val="1404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B0CA2"/>
    <w:multiLevelType w:val="hybridMultilevel"/>
    <w:tmpl w:val="BB008B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00CD5"/>
    <w:multiLevelType w:val="hybridMultilevel"/>
    <w:tmpl w:val="AA06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52B80"/>
    <w:multiLevelType w:val="hybridMultilevel"/>
    <w:tmpl w:val="0BBC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57FE3"/>
    <w:multiLevelType w:val="hybridMultilevel"/>
    <w:tmpl w:val="1704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4538D"/>
    <w:multiLevelType w:val="hybridMultilevel"/>
    <w:tmpl w:val="2A84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327A2"/>
    <w:multiLevelType w:val="hybridMultilevel"/>
    <w:tmpl w:val="74D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C110C"/>
    <w:multiLevelType w:val="hybridMultilevel"/>
    <w:tmpl w:val="538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E7314"/>
    <w:multiLevelType w:val="hybridMultilevel"/>
    <w:tmpl w:val="23F2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3317D"/>
    <w:multiLevelType w:val="hybridMultilevel"/>
    <w:tmpl w:val="8494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F2771"/>
    <w:multiLevelType w:val="hybridMultilevel"/>
    <w:tmpl w:val="BBF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6776A"/>
    <w:multiLevelType w:val="hybridMultilevel"/>
    <w:tmpl w:val="D672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967BF"/>
    <w:multiLevelType w:val="hybridMultilevel"/>
    <w:tmpl w:val="907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11791"/>
    <w:multiLevelType w:val="hybridMultilevel"/>
    <w:tmpl w:val="88D0F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DC1251"/>
    <w:multiLevelType w:val="hybridMultilevel"/>
    <w:tmpl w:val="AC36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300D3"/>
    <w:multiLevelType w:val="hybridMultilevel"/>
    <w:tmpl w:val="94F0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318B3"/>
    <w:multiLevelType w:val="hybridMultilevel"/>
    <w:tmpl w:val="7FC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72067"/>
    <w:multiLevelType w:val="hybridMultilevel"/>
    <w:tmpl w:val="21B8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BA7B4E"/>
    <w:multiLevelType w:val="hybridMultilevel"/>
    <w:tmpl w:val="7AE8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834C0"/>
    <w:multiLevelType w:val="hybridMultilevel"/>
    <w:tmpl w:val="C568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71DFD"/>
    <w:multiLevelType w:val="hybridMultilevel"/>
    <w:tmpl w:val="43B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19"/>
  </w:num>
  <w:num w:numId="5">
    <w:abstractNumId w:val="12"/>
  </w:num>
  <w:num w:numId="6">
    <w:abstractNumId w:val="2"/>
  </w:num>
  <w:num w:numId="7">
    <w:abstractNumId w:val="5"/>
  </w:num>
  <w:num w:numId="8">
    <w:abstractNumId w:val="20"/>
  </w:num>
  <w:num w:numId="9">
    <w:abstractNumId w:val="7"/>
  </w:num>
  <w:num w:numId="10">
    <w:abstractNumId w:val="15"/>
  </w:num>
  <w:num w:numId="11">
    <w:abstractNumId w:val="13"/>
  </w:num>
  <w:num w:numId="12">
    <w:abstractNumId w:val="1"/>
  </w:num>
  <w:num w:numId="13">
    <w:abstractNumId w:val="16"/>
  </w:num>
  <w:num w:numId="14">
    <w:abstractNumId w:val="10"/>
  </w:num>
  <w:num w:numId="15">
    <w:abstractNumId w:val="22"/>
  </w:num>
  <w:num w:numId="16">
    <w:abstractNumId w:val="6"/>
  </w:num>
  <w:num w:numId="17">
    <w:abstractNumId w:val="8"/>
  </w:num>
  <w:num w:numId="18">
    <w:abstractNumId w:val="14"/>
  </w:num>
  <w:num w:numId="19">
    <w:abstractNumId w:val="18"/>
  </w:num>
  <w:num w:numId="20">
    <w:abstractNumId w:val="9"/>
  </w:num>
  <w:num w:numId="21">
    <w:abstractNumId w:val="23"/>
  </w:num>
  <w:num w:numId="22">
    <w:abstractNumId w:val="2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85"/>
    <w:rsid w:val="000020EA"/>
    <w:rsid w:val="000059B6"/>
    <w:rsid w:val="00010E01"/>
    <w:rsid w:val="00013265"/>
    <w:rsid w:val="0006117C"/>
    <w:rsid w:val="00062F03"/>
    <w:rsid w:val="00090B5F"/>
    <w:rsid w:val="000B47CB"/>
    <w:rsid w:val="000C0320"/>
    <w:rsid w:val="001145A8"/>
    <w:rsid w:val="00114985"/>
    <w:rsid w:val="001261BA"/>
    <w:rsid w:val="00152B9C"/>
    <w:rsid w:val="001832DA"/>
    <w:rsid w:val="00197AA7"/>
    <w:rsid w:val="001E2ADF"/>
    <w:rsid w:val="00204D45"/>
    <w:rsid w:val="0020516F"/>
    <w:rsid w:val="00205C69"/>
    <w:rsid w:val="002117D9"/>
    <w:rsid w:val="0022178D"/>
    <w:rsid w:val="00243565"/>
    <w:rsid w:val="002668E0"/>
    <w:rsid w:val="00272D10"/>
    <w:rsid w:val="00281770"/>
    <w:rsid w:val="00286A1B"/>
    <w:rsid w:val="002A3D91"/>
    <w:rsid w:val="002A4F81"/>
    <w:rsid w:val="002B0B1A"/>
    <w:rsid w:val="002B5C32"/>
    <w:rsid w:val="002B7469"/>
    <w:rsid w:val="002D0A43"/>
    <w:rsid w:val="002E3099"/>
    <w:rsid w:val="002F3B85"/>
    <w:rsid w:val="0030233F"/>
    <w:rsid w:val="0031329A"/>
    <w:rsid w:val="0031395E"/>
    <w:rsid w:val="00315BC3"/>
    <w:rsid w:val="00317263"/>
    <w:rsid w:val="00323AAB"/>
    <w:rsid w:val="00331230"/>
    <w:rsid w:val="00347660"/>
    <w:rsid w:val="00350A9D"/>
    <w:rsid w:val="0036035C"/>
    <w:rsid w:val="00386C60"/>
    <w:rsid w:val="00393686"/>
    <w:rsid w:val="003A3E3F"/>
    <w:rsid w:val="003B068C"/>
    <w:rsid w:val="003C62F8"/>
    <w:rsid w:val="003D18AB"/>
    <w:rsid w:val="003D1F23"/>
    <w:rsid w:val="00417DDE"/>
    <w:rsid w:val="004336D6"/>
    <w:rsid w:val="00450477"/>
    <w:rsid w:val="00456E79"/>
    <w:rsid w:val="00471964"/>
    <w:rsid w:val="004735AE"/>
    <w:rsid w:val="00482DC7"/>
    <w:rsid w:val="004A4553"/>
    <w:rsid w:val="004E6C22"/>
    <w:rsid w:val="005652A1"/>
    <w:rsid w:val="0056774E"/>
    <w:rsid w:val="005B6625"/>
    <w:rsid w:val="005D0BDF"/>
    <w:rsid w:val="005D4D99"/>
    <w:rsid w:val="005F4FA2"/>
    <w:rsid w:val="005F79FF"/>
    <w:rsid w:val="005F7AD5"/>
    <w:rsid w:val="00640F16"/>
    <w:rsid w:val="00641618"/>
    <w:rsid w:val="00656A0E"/>
    <w:rsid w:val="00666616"/>
    <w:rsid w:val="006755C0"/>
    <w:rsid w:val="006B23D1"/>
    <w:rsid w:val="006E5C76"/>
    <w:rsid w:val="00707205"/>
    <w:rsid w:val="00712DFF"/>
    <w:rsid w:val="00715650"/>
    <w:rsid w:val="00723EDF"/>
    <w:rsid w:val="0073205B"/>
    <w:rsid w:val="0073271F"/>
    <w:rsid w:val="00734A17"/>
    <w:rsid w:val="0073766E"/>
    <w:rsid w:val="00754114"/>
    <w:rsid w:val="00757A91"/>
    <w:rsid w:val="00765556"/>
    <w:rsid w:val="007813DA"/>
    <w:rsid w:val="007967DB"/>
    <w:rsid w:val="007B1C7A"/>
    <w:rsid w:val="007D4B41"/>
    <w:rsid w:val="007D7C05"/>
    <w:rsid w:val="007F1E44"/>
    <w:rsid w:val="007F4C63"/>
    <w:rsid w:val="008278CD"/>
    <w:rsid w:val="00844AA1"/>
    <w:rsid w:val="008451C9"/>
    <w:rsid w:val="00850C0F"/>
    <w:rsid w:val="008568BD"/>
    <w:rsid w:val="00874B61"/>
    <w:rsid w:val="008869A5"/>
    <w:rsid w:val="008D25BE"/>
    <w:rsid w:val="008D6259"/>
    <w:rsid w:val="008E00E7"/>
    <w:rsid w:val="008E0938"/>
    <w:rsid w:val="008E1A53"/>
    <w:rsid w:val="008E786A"/>
    <w:rsid w:val="00906839"/>
    <w:rsid w:val="00912C8B"/>
    <w:rsid w:val="00941F4F"/>
    <w:rsid w:val="00982728"/>
    <w:rsid w:val="009A5063"/>
    <w:rsid w:val="009C64D2"/>
    <w:rsid w:val="009E54EF"/>
    <w:rsid w:val="00A152BA"/>
    <w:rsid w:val="00A4122B"/>
    <w:rsid w:val="00A577ED"/>
    <w:rsid w:val="00A70416"/>
    <w:rsid w:val="00A86A95"/>
    <w:rsid w:val="00A86B60"/>
    <w:rsid w:val="00A87430"/>
    <w:rsid w:val="00AA51D4"/>
    <w:rsid w:val="00AA7191"/>
    <w:rsid w:val="00AB2728"/>
    <w:rsid w:val="00AD2761"/>
    <w:rsid w:val="00AE4233"/>
    <w:rsid w:val="00B01862"/>
    <w:rsid w:val="00B315E7"/>
    <w:rsid w:val="00B6432C"/>
    <w:rsid w:val="00B664CE"/>
    <w:rsid w:val="00B677E8"/>
    <w:rsid w:val="00B8048E"/>
    <w:rsid w:val="00BC7AA7"/>
    <w:rsid w:val="00BD0A74"/>
    <w:rsid w:val="00BE17CF"/>
    <w:rsid w:val="00BF05D4"/>
    <w:rsid w:val="00C341B3"/>
    <w:rsid w:val="00C46F06"/>
    <w:rsid w:val="00C62F55"/>
    <w:rsid w:val="00C81F2F"/>
    <w:rsid w:val="00CB0C9E"/>
    <w:rsid w:val="00CB13F3"/>
    <w:rsid w:val="00CB44DE"/>
    <w:rsid w:val="00CD6BF8"/>
    <w:rsid w:val="00CE2B76"/>
    <w:rsid w:val="00D0040A"/>
    <w:rsid w:val="00D06B49"/>
    <w:rsid w:val="00D173C0"/>
    <w:rsid w:val="00D23727"/>
    <w:rsid w:val="00D30803"/>
    <w:rsid w:val="00D524FA"/>
    <w:rsid w:val="00D55DA7"/>
    <w:rsid w:val="00DB4988"/>
    <w:rsid w:val="00DD6272"/>
    <w:rsid w:val="00DD7622"/>
    <w:rsid w:val="00E0732E"/>
    <w:rsid w:val="00E1663A"/>
    <w:rsid w:val="00E27B3E"/>
    <w:rsid w:val="00E300E8"/>
    <w:rsid w:val="00E4495A"/>
    <w:rsid w:val="00E82DEB"/>
    <w:rsid w:val="00E914D9"/>
    <w:rsid w:val="00EA6049"/>
    <w:rsid w:val="00EA7B5B"/>
    <w:rsid w:val="00EB2270"/>
    <w:rsid w:val="00EB4423"/>
    <w:rsid w:val="00EE4EB2"/>
    <w:rsid w:val="00F02DCD"/>
    <w:rsid w:val="00F13932"/>
    <w:rsid w:val="00FB2DE4"/>
    <w:rsid w:val="00FD1AB7"/>
    <w:rsid w:val="00FF1462"/>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85"/>
    <w:pPr>
      <w:spacing w:after="0" w:line="240" w:lineRule="auto"/>
    </w:pPr>
    <w:rPr>
      <w:rFonts w:ascii="Palatino Linotype" w:eastAsia="Times New Roman" w:hAnsi="Palatino Linotype" w:cs="Times New Roman"/>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rPr>
      <w:rFonts w:eastAsiaTheme="minorHAnsi" w:cstheme="minorBidi"/>
      <w:szCs w:val="22"/>
    </w:rPr>
  </w:style>
  <w:style w:type="character" w:styleId="Hyperlink">
    <w:name w:val="Hyperlink"/>
    <w:uiPriority w:val="99"/>
    <w:rsid w:val="00114985"/>
    <w:rPr>
      <w:rFonts w:ascii="Palatino Linotype" w:hAnsi="Palatino Linotype"/>
      <w:color w:val="0000FF"/>
      <w:sz w:val="22"/>
      <w:u w:val="single"/>
    </w:rPr>
  </w:style>
  <w:style w:type="character" w:styleId="FollowedHyperlink">
    <w:name w:val="FollowedHyperlink"/>
    <w:basedOn w:val="DefaultParagraphFont"/>
    <w:uiPriority w:val="99"/>
    <w:semiHidden/>
    <w:unhideWhenUsed/>
    <w:rsid w:val="002E3099"/>
    <w:rPr>
      <w:color w:val="800080" w:themeColor="followedHyperlink"/>
      <w:u w:val="single"/>
    </w:rPr>
  </w:style>
  <w:style w:type="character" w:styleId="CommentReference">
    <w:name w:val="annotation reference"/>
    <w:basedOn w:val="DefaultParagraphFont"/>
    <w:uiPriority w:val="99"/>
    <w:semiHidden/>
    <w:unhideWhenUsed/>
    <w:rsid w:val="00DD7622"/>
    <w:rPr>
      <w:sz w:val="16"/>
      <w:szCs w:val="16"/>
    </w:rPr>
  </w:style>
  <w:style w:type="paragraph" w:styleId="CommentText">
    <w:name w:val="annotation text"/>
    <w:basedOn w:val="Normal"/>
    <w:link w:val="CommentTextChar"/>
    <w:uiPriority w:val="99"/>
    <w:semiHidden/>
    <w:unhideWhenUsed/>
    <w:rsid w:val="00DD7622"/>
    <w:rPr>
      <w:sz w:val="20"/>
      <w:szCs w:val="20"/>
    </w:rPr>
  </w:style>
  <w:style w:type="character" w:customStyle="1" w:styleId="CommentTextChar">
    <w:name w:val="Comment Text Char"/>
    <w:basedOn w:val="DefaultParagraphFont"/>
    <w:link w:val="CommentText"/>
    <w:uiPriority w:val="99"/>
    <w:semiHidden/>
    <w:rsid w:val="00DD7622"/>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DD7622"/>
    <w:rPr>
      <w:b/>
      <w:bCs/>
    </w:rPr>
  </w:style>
  <w:style w:type="character" w:customStyle="1" w:styleId="CommentSubjectChar">
    <w:name w:val="Comment Subject Char"/>
    <w:basedOn w:val="CommentTextChar"/>
    <w:link w:val="CommentSubject"/>
    <w:uiPriority w:val="99"/>
    <w:semiHidden/>
    <w:rsid w:val="00DD7622"/>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DD7622"/>
    <w:rPr>
      <w:rFonts w:ascii="Tahoma" w:hAnsi="Tahoma" w:cs="Tahoma"/>
      <w:sz w:val="16"/>
      <w:szCs w:val="16"/>
    </w:rPr>
  </w:style>
  <w:style w:type="character" w:customStyle="1" w:styleId="BalloonTextChar">
    <w:name w:val="Balloon Text Char"/>
    <w:basedOn w:val="DefaultParagraphFont"/>
    <w:link w:val="BalloonText"/>
    <w:uiPriority w:val="99"/>
    <w:semiHidden/>
    <w:rsid w:val="00DD7622"/>
    <w:rPr>
      <w:rFonts w:ascii="Tahoma" w:eastAsia="Times New Roman" w:hAnsi="Tahoma" w:cs="Tahoma"/>
      <w:sz w:val="16"/>
      <w:szCs w:val="16"/>
    </w:rPr>
  </w:style>
  <w:style w:type="character" w:customStyle="1" w:styleId="apple-converted-space">
    <w:name w:val="apple-converted-space"/>
    <w:basedOn w:val="DefaultParagraphFont"/>
    <w:rsid w:val="00CE2B76"/>
  </w:style>
  <w:style w:type="paragraph" w:styleId="Header">
    <w:name w:val="header"/>
    <w:basedOn w:val="Normal"/>
    <w:link w:val="HeaderChar"/>
    <w:uiPriority w:val="99"/>
    <w:unhideWhenUsed/>
    <w:rsid w:val="00272D10"/>
    <w:pPr>
      <w:tabs>
        <w:tab w:val="center" w:pos="4680"/>
        <w:tab w:val="right" w:pos="9360"/>
      </w:tabs>
    </w:pPr>
  </w:style>
  <w:style w:type="character" w:customStyle="1" w:styleId="HeaderChar">
    <w:name w:val="Header Char"/>
    <w:basedOn w:val="DefaultParagraphFont"/>
    <w:link w:val="Header"/>
    <w:uiPriority w:val="99"/>
    <w:rsid w:val="00272D10"/>
    <w:rPr>
      <w:rFonts w:ascii="Palatino Linotype" w:eastAsia="Times New Roman" w:hAnsi="Palatino Linotype" w:cs="Times New Roman"/>
      <w:szCs w:val="24"/>
    </w:rPr>
  </w:style>
  <w:style w:type="paragraph" w:styleId="Footer">
    <w:name w:val="footer"/>
    <w:basedOn w:val="Normal"/>
    <w:link w:val="FooterChar"/>
    <w:uiPriority w:val="99"/>
    <w:unhideWhenUsed/>
    <w:rsid w:val="00272D10"/>
    <w:pPr>
      <w:tabs>
        <w:tab w:val="center" w:pos="4680"/>
        <w:tab w:val="right" w:pos="9360"/>
      </w:tabs>
    </w:pPr>
  </w:style>
  <w:style w:type="character" w:customStyle="1" w:styleId="FooterChar">
    <w:name w:val="Footer Char"/>
    <w:basedOn w:val="DefaultParagraphFont"/>
    <w:link w:val="Footer"/>
    <w:uiPriority w:val="99"/>
    <w:rsid w:val="00272D10"/>
    <w:rPr>
      <w:rFonts w:ascii="Palatino Linotype" w:eastAsia="Times New Roman" w:hAnsi="Palatino Linotype" w:cs="Times New Roman"/>
      <w:szCs w:val="24"/>
    </w:rPr>
  </w:style>
  <w:style w:type="character" w:styleId="Emphasis">
    <w:name w:val="Emphasis"/>
    <w:basedOn w:val="DefaultParagraphFont"/>
    <w:uiPriority w:val="20"/>
    <w:qFormat/>
    <w:rsid w:val="001145A8"/>
    <w:rPr>
      <w:i/>
      <w:iCs/>
    </w:rPr>
  </w:style>
  <w:style w:type="paragraph" w:styleId="Revision">
    <w:name w:val="Revision"/>
    <w:hidden/>
    <w:uiPriority w:val="99"/>
    <w:semiHidden/>
    <w:rsid w:val="00471964"/>
    <w:pPr>
      <w:spacing w:after="0" w:line="240" w:lineRule="auto"/>
    </w:pPr>
    <w:rPr>
      <w:rFonts w:ascii="Palatino Linotype" w:eastAsia="Times New Roman" w:hAnsi="Palatino Linotyp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85"/>
    <w:pPr>
      <w:spacing w:after="0" w:line="240" w:lineRule="auto"/>
    </w:pPr>
    <w:rPr>
      <w:rFonts w:ascii="Palatino Linotype" w:eastAsia="Times New Roman" w:hAnsi="Palatino Linotype" w:cs="Times New Roman"/>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rPr>
      <w:rFonts w:eastAsiaTheme="minorHAnsi" w:cstheme="minorBidi"/>
      <w:szCs w:val="22"/>
    </w:rPr>
  </w:style>
  <w:style w:type="character" w:styleId="Hyperlink">
    <w:name w:val="Hyperlink"/>
    <w:uiPriority w:val="99"/>
    <w:rsid w:val="00114985"/>
    <w:rPr>
      <w:rFonts w:ascii="Palatino Linotype" w:hAnsi="Palatino Linotype"/>
      <w:color w:val="0000FF"/>
      <w:sz w:val="22"/>
      <w:u w:val="single"/>
    </w:rPr>
  </w:style>
  <w:style w:type="character" w:styleId="FollowedHyperlink">
    <w:name w:val="FollowedHyperlink"/>
    <w:basedOn w:val="DefaultParagraphFont"/>
    <w:uiPriority w:val="99"/>
    <w:semiHidden/>
    <w:unhideWhenUsed/>
    <w:rsid w:val="002E3099"/>
    <w:rPr>
      <w:color w:val="800080" w:themeColor="followedHyperlink"/>
      <w:u w:val="single"/>
    </w:rPr>
  </w:style>
  <w:style w:type="character" w:styleId="CommentReference">
    <w:name w:val="annotation reference"/>
    <w:basedOn w:val="DefaultParagraphFont"/>
    <w:uiPriority w:val="99"/>
    <w:semiHidden/>
    <w:unhideWhenUsed/>
    <w:rsid w:val="00DD7622"/>
    <w:rPr>
      <w:sz w:val="16"/>
      <w:szCs w:val="16"/>
    </w:rPr>
  </w:style>
  <w:style w:type="paragraph" w:styleId="CommentText">
    <w:name w:val="annotation text"/>
    <w:basedOn w:val="Normal"/>
    <w:link w:val="CommentTextChar"/>
    <w:uiPriority w:val="99"/>
    <w:semiHidden/>
    <w:unhideWhenUsed/>
    <w:rsid w:val="00DD7622"/>
    <w:rPr>
      <w:sz w:val="20"/>
      <w:szCs w:val="20"/>
    </w:rPr>
  </w:style>
  <w:style w:type="character" w:customStyle="1" w:styleId="CommentTextChar">
    <w:name w:val="Comment Text Char"/>
    <w:basedOn w:val="DefaultParagraphFont"/>
    <w:link w:val="CommentText"/>
    <w:uiPriority w:val="99"/>
    <w:semiHidden/>
    <w:rsid w:val="00DD7622"/>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DD7622"/>
    <w:rPr>
      <w:b/>
      <w:bCs/>
    </w:rPr>
  </w:style>
  <w:style w:type="character" w:customStyle="1" w:styleId="CommentSubjectChar">
    <w:name w:val="Comment Subject Char"/>
    <w:basedOn w:val="CommentTextChar"/>
    <w:link w:val="CommentSubject"/>
    <w:uiPriority w:val="99"/>
    <w:semiHidden/>
    <w:rsid w:val="00DD7622"/>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DD7622"/>
    <w:rPr>
      <w:rFonts w:ascii="Tahoma" w:hAnsi="Tahoma" w:cs="Tahoma"/>
      <w:sz w:val="16"/>
      <w:szCs w:val="16"/>
    </w:rPr>
  </w:style>
  <w:style w:type="character" w:customStyle="1" w:styleId="BalloonTextChar">
    <w:name w:val="Balloon Text Char"/>
    <w:basedOn w:val="DefaultParagraphFont"/>
    <w:link w:val="BalloonText"/>
    <w:uiPriority w:val="99"/>
    <w:semiHidden/>
    <w:rsid w:val="00DD7622"/>
    <w:rPr>
      <w:rFonts w:ascii="Tahoma" w:eastAsia="Times New Roman" w:hAnsi="Tahoma" w:cs="Tahoma"/>
      <w:sz w:val="16"/>
      <w:szCs w:val="16"/>
    </w:rPr>
  </w:style>
  <w:style w:type="character" w:customStyle="1" w:styleId="apple-converted-space">
    <w:name w:val="apple-converted-space"/>
    <w:basedOn w:val="DefaultParagraphFont"/>
    <w:rsid w:val="00CE2B76"/>
  </w:style>
  <w:style w:type="paragraph" w:styleId="Header">
    <w:name w:val="header"/>
    <w:basedOn w:val="Normal"/>
    <w:link w:val="HeaderChar"/>
    <w:uiPriority w:val="99"/>
    <w:unhideWhenUsed/>
    <w:rsid w:val="00272D10"/>
    <w:pPr>
      <w:tabs>
        <w:tab w:val="center" w:pos="4680"/>
        <w:tab w:val="right" w:pos="9360"/>
      </w:tabs>
    </w:pPr>
  </w:style>
  <w:style w:type="character" w:customStyle="1" w:styleId="HeaderChar">
    <w:name w:val="Header Char"/>
    <w:basedOn w:val="DefaultParagraphFont"/>
    <w:link w:val="Header"/>
    <w:uiPriority w:val="99"/>
    <w:rsid w:val="00272D10"/>
    <w:rPr>
      <w:rFonts w:ascii="Palatino Linotype" w:eastAsia="Times New Roman" w:hAnsi="Palatino Linotype" w:cs="Times New Roman"/>
      <w:szCs w:val="24"/>
    </w:rPr>
  </w:style>
  <w:style w:type="paragraph" w:styleId="Footer">
    <w:name w:val="footer"/>
    <w:basedOn w:val="Normal"/>
    <w:link w:val="FooterChar"/>
    <w:uiPriority w:val="99"/>
    <w:unhideWhenUsed/>
    <w:rsid w:val="00272D10"/>
    <w:pPr>
      <w:tabs>
        <w:tab w:val="center" w:pos="4680"/>
        <w:tab w:val="right" w:pos="9360"/>
      </w:tabs>
    </w:pPr>
  </w:style>
  <w:style w:type="character" w:customStyle="1" w:styleId="FooterChar">
    <w:name w:val="Footer Char"/>
    <w:basedOn w:val="DefaultParagraphFont"/>
    <w:link w:val="Footer"/>
    <w:uiPriority w:val="99"/>
    <w:rsid w:val="00272D10"/>
    <w:rPr>
      <w:rFonts w:ascii="Palatino Linotype" w:eastAsia="Times New Roman" w:hAnsi="Palatino Linotype" w:cs="Times New Roman"/>
      <w:szCs w:val="24"/>
    </w:rPr>
  </w:style>
  <w:style w:type="character" w:styleId="Emphasis">
    <w:name w:val="Emphasis"/>
    <w:basedOn w:val="DefaultParagraphFont"/>
    <w:uiPriority w:val="20"/>
    <w:qFormat/>
    <w:rsid w:val="001145A8"/>
    <w:rPr>
      <w:i/>
      <w:iCs/>
    </w:rPr>
  </w:style>
  <w:style w:type="paragraph" w:styleId="Revision">
    <w:name w:val="Revision"/>
    <w:hidden/>
    <w:uiPriority w:val="99"/>
    <w:semiHidden/>
    <w:rsid w:val="00471964"/>
    <w:pPr>
      <w:spacing w:after="0" w:line="240" w:lineRule="auto"/>
    </w:pPr>
    <w:rPr>
      <w:rFonts w:ascii="Palatino Linotype" w:eastAsia="Times New Roman"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forceboard.org/" TargetMode="External"/><Relationship Id="rId18" Type="http://schemas.openxmlformats.org/officeDocument/2006/relationships/hyperlink" Target="http://www.cmap.illinois.gov/lta/golden-corridor" TargetMode="External"/><Relationship Id="rId26" Type="http://schemas.openxmlformats.org/officeDocument/2006/relationships/hyperlink" Target="http://www.cmap.illinois.gov/metropulse/community-data-snapshots" TargetMode="External"/><Relationship Id="rId39" Type="http://schemas.openxmlformats.org/officeDocument/2006/relationships/hyperlink" Target="http://www.cct.org/impact/partnerships-initiatives/shaping-our-region/cwfa" TargetMode="External"/><Relationship Id="rId3" Type="http://schemas.openxmlformats.org/officeDocument/2006/relationships/styles" Target="styles.xml"/><Relationship Id="rId21" Type="http://schemas.openxmlformats.org/officeDocument/2006/relationships/hyperlink" Target="http://www.skillsforchicagolandsfuture.com/about-us/" TargetMode="External"/><Relationship Id="rId34" Type="http://schemas.openxmlformats.org/officeDocument/2006/relationships/hyperlink" Target="http://www.illinoiskids.org/?usertype=public" TargetMode="External"/><Relationship Id="rId42" Type="http://schemas.openxmlformats.org/officeDocument/2006/relationships/hyperlink" Target="http://www.chapinhall.org/sites/default/files/Inside%20the%20Black%20Box_04_23_12_0.pdf" TargetMode="External"/><Relationship Id="rId7" Type="http://schemas.openxmlformats.org/officeDocument/2006/relationships/footnotes" Target="footnotes.xml"/><Relationship Id="rId12" Type="http://schemas.openxmlformats.org/officeDocument/2006/relationships/hyperlink" Target="http://www.cmap.illinois.gov/moving-forward/human-capital-in-detail/-/asset_publisher/Q4En/content/a-comprehensive-plan-for-berwyn?isMovingForward=1" TargetMode="External"/><Relationship Id="rId17" Type="http://schemas.openxmlformats.org/officeDocument/2006/relationships/hyperlink" Target="http://www.ccc.edu/menu/pages/college-to-careers.aspx" TargetMode="External"/><Relationship Id="rId25" Type="http://schemas.openxmlformats.org/officeDocument/2006/relationships/hyperlink" Target="http://www.cmap.illinois.gov/metropulse/community-data-snapshots" TargetMode="External"/><Relationship Id="rId33" Type="http://schemas.openxmlformats.org/officeDocument/2006/relationships/hyperlink" Target="http://www.isbe.net/earlychi/pdf/kindergarten_survey.pdf" TargetMode="External"/><Relationship Id="rId38" Type="http://schemas.openxmlformats.org/officeDocument/2006/relationships/hyperlink" Target="http://www.workforceboardsmetrochicago.org/Portals/0/Uploads/Regional_final_4.25.2012.pdf" TargetMode="External"/><Relationship Id="rId2" Type="http://schemas.openxmlformats.org/officeDocument/2006/relationships/numbering" Target="numbering.xml"/><Relationship Id="rId16" Type="http://schemas.openxmlformats.org/officeDocument/2006/relationships/hyperlink" Target="http://www.igencc.org/career_pathways" TargetMode="External"/><Relationship Id="rId20" Type="http://schemas.openxmlformats.org/officeDocument/2006/relationships/hyperlink" Target="http://www.workforceboard.org/" TargetMode="External"/><Relationship Id="rId29" Type="http://schemas.openxmlformats.org/officeDocument/2006/relationships/hyperlink" Target="http://www.chapinhall.org/research/report/cwicstats-dashboard-report" TargetMode="External"/><Relationship Id="rId41" Type="http://schemas.openxmlformats.org/officeDocument/2006/relationships/hyperlink" Target="http://www.workforceboard.org/Portals/0/ThePartnership/IWIS%20RFP/IWIS%20System%20Dev%20&amp;%20Implementation%20RFP%2009-09-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ap.illinois.gov/moving-forward/livable-communities-in-detail/-/asset_publisher/Q4En/content/a-comprehensive-plan-for-blue-island?isMovingForward=1" TargetMode="External"/><Relationship Id="rId24" Type="http://schemas.openxmlformats.org/officeDocument/2006/relationships/hyperlink" Target="http://womenemployed.org/pathways-careers-network" TargetMode="External"/><Relationship Id="rId32" Type="http://schemas.openxmlformats.org/officeDocument/2006/relationships/hyperlink" Target="http://occrl.illinois.edu/collaboration-and-statewide-research-agendas/" TargetMode="External"/><Relationship Id="rId37" Type="http://schemas.openxmlformats.org/officeDocument/2006/relationships/hyperlink" Target="https://sites.google.com/a/chicagosouthlandedc.org/chicago-southland-economic-development-corporation/green-time-zone/chicago-calumet-renewable-auto-and-rail-manufacturing-center/the-chicago-calumet-renewable-auto-and-rail-manufacturing-center-individual-company-training-and-development-efforts" TargetMode="External"/><Relationship Id="rId40" Type="http://schemas.openxmlformats.org/officeDocument/2006/relationships/hyperlink" Target="http://www.chapinhall.org/research/ongoing/chicago-career-tech-job-training-program-evaluation" TargetMode="External"/><Relationship Id="rId5" Type="http://schemas.openxmlformats.org/officeDocument/2006/relationships/settings" Target="settings.xml"/><Relationship Id="rId15" Type="http://schemas.openxmlformats.org/officeDocument/2006/relationships/hyperlink" Target="http://www.worknetncc.com/index.php?do=cms_sub&amp;pageid=20" TargetMode="External"/><Relationship Id="rId23" Type="http://schemas.openxmlformats.org/officeDocument/2006/relationships/hyperlink" Target="https://learnwork.workforce3one.org/page/about" TargetMode="External"/><Relationship Id="rId28" Type="http://schemas.openxmlformats.org/officeDocument/2006/relationships/hyperlink" Target="http://www2.illinois.gov/gov/P20/Documents/Full%20P-20/P-20%20Report%202013.pdf" TargetMode="External"/><Relationship Id="rId36" Type="http://schemas.openxmlformats.org/officeDocument/2006/relationships/hyperlink" Target="http://webapps.dol.gov/DOLGrantData/GrantInformation.aspx?appid=15373" TargetMode="External"/><Relationship Id="rId10" Type="http://schemas.openxmlformats.org/officeDocument/2006/relationships/hyperlink" Target="http://www.cmap.illinois.gov/policy/drill-downs/freight" TargetMode="External"/><Relationship Id="rId19" Type="http://schemas.openxmlformats.org/officeDocument/2006/relationships/hyperlink" Target="http://www.cct.org/impact/partnerships-initiatives/shaping-our-region/cwfa" TargetMode="External"/><Relationship Id="rId31" Type="http://schemas.openxmlformats.org/officeDocument/2006/relationships/hyperlink" Target="http://www.isbe.net/ILDS/default.ht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map.illinois.gov/policy/drill-downs/manufacturing" TargetMode="External"/><Relationship Id="rId14" Type="http://schemas.openxmlformats.org/officeDocument/2006/relationships/hyperlink" Target="http://webapps.dol.gov/DOLGrantData/GrantInformation.aspx?appid=15373" TargetMode="External"/><Relationship Id="rId22" Type="http://schemas.openxmlformats.org/officeDocument/2006/relationships/hyperlink" Target="http://www.illinoisworknet.com/vos_portal/Stem/en/Home/" TargetMode="External"/><Relationship Id="rId27" Type="http://schemas.openxmlformats.org/officeDocument/2006/relationships/hyperlink" Target="http://www2.illinois.gov/gov/P20/Pages/default.aspx" TargetMode="External"/><Relationship Id="rId30" Type="http://schemas.openxmlformats.org/officeDocument/2006/relationships/hyperlink" Target="http://www.chicagolandwiatraining.com/" TargetMode="External"/><Relationship Id="rId35" Type="http://schemas.openxmlformats.org/officeDocument/2006/relationships/footer" Target="footer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4552-3E4C-40A6-AC85-DC8F8049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4552</Words>
  <Characters>25952</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30444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Williams-Clark</dc:creator>
  <cp:lastModifiedBy>Emily Plagman</cp:lastModifiedBy>
  <cp:revision>2</cp:revision>
  <dcterms:created xsi:type="dcterms:W3CDTF">2014-02-06T16:21:00Z</dcterms:created>
  <dcterms:modified xsi:type="dcterms:W3CDTF">2014-02-06T16:21:00Z</dcterms:modified>
</cp:coreProperties>
</file>