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bookmarkStart w:id="0" w:name="_GoBack"/>
      <w:bookmarkEnd w:id="0"/>
      <w:r>
        <w:rPr>
          <w:noProof/>
          <w:sz w:val="24"/>
          <w:szCs w:val="24"/>
        </w:rPr>
        <w:drawing>
          <wp:inline distT="0" distB="0" distL="0" distR="0">
            <wp:extent cx="5943600" cy="699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2A1F2C">
        <w:rPr>
          <w:b/>
          <w:color w:val="548DD4" w:themeColor="text2" w:themeTint="99"/>
        </w:rPr>
        <w:t>6</w:t>
      </w:r>
      <w:r w:rsidR="0043475D">
        <w:rPr>
          <w:b/>
          <w:color w:val="548DD4" w:themeColor="text2" w:themeTint="99"/>
        </w:rPr>
        <w:t>, 201</w:t>
      </w:r>
      <w:r w:rsidR="0051092D">
        <w:rPr>
          <w:b/>
          <w:color w:val="548DD4" w:themeColor="text2" w:themeTint="99"/>
        </w:rPr>
        <w:t>4</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8"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9"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43475D" w:rsidRPr="00E262A2" w:rsidRDefault="00A822AD" w:rsidP="00BD3EF1">
      <w:pPr>
        <w:spacing w:after="0" w:line="240" w:lineRule="auto"/>
        <w:rPr>
          <w:i/>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r w:rsidR="005A4F9C">
        <w:rPr>
          <w:b/>
          <w:color w:val="548DD4" w:themeColor="text2" w:themeTint="99"/>
        </w:rPr>
        <w:br/>
      </w:r>
      <w:r w:rsidR="00887440" w:rsidRPr="00E262A2">
        <w:rPr>
          <w:i/>
        </w:rPr>
        <w:t>Village of Niles</w:t>
      </w:r>
    </w:p>
    <w:p w:rsidR="00BD3EF1" w:rsidRDefault="00BD3EF1" w:rsidP="00BD3EF1">
      <w:pPr>
        <w:spacing w:after="0" w:line="240" w:lineRule="auto"/>
        <w:rPr>
          <w:b/>
          <w:color w:val="548DD4" w:themeColor="text2" w:themeTint="99"/>
        </w:rPr>
      </w:pPr>
    </w:p>
    <w:p w:rsidR="00A55FA4" w:rsidRDefault="0043475D" w:rsidP="00BD3EF1">
      <w:pPr>
        <w:spacing w:after="0" w:line="240" w:lineRule="auto"/>
        <w:rPr>
          <w:b/>
          <w:color w:val="548DD4" w:themeColor="text2" w:themeTint="99"/>
        </w:rPr>
      </w:pPr>
      <w:r>
        <w:rPr>
          <w:b/>
          <w:color w:val="548DD4" w:themeColor="text2" w:themeTint="99"/>
        </w:rPr>
        <w:t>2. Main Contact for Application</w:t>
      </w:r>
      <w:r w:rsidR="00A55FA4">
        <w:rPr>
          <w:b/>
          <w:color w:val="548DD4" w:themeColor="text2" w:themeTint="99"/>
        </w:rPr>
        <w:t xml:space="preserve"> (please include name, phone number and email)</w:t>
      </w:r>
      <w:r>
        <w:rPr>
          <w:b/>
          <w:color w:val="548DD4" w:themeColor="text2" w:themeTint="99"/>
        </w:rPr>
        <w:t xml:space="preserve">: </w:t>
      </w:r>
    </w:p>
    <w:p w:rsidR="00BD3EF1" w:rsidRPr="00E262A2" w:rsidRDefault="00887440" w:rsidP="00BD3EF1">
      <w:pPr>
        <w:spacing w:after="0" w:line="240" w:lineRule="auto"/>
        <w:rPr>
          <w:i/>
          <w:color w:val="548DD4" w:themeColor="text2" w:themeTint="99"/>
        </w:rPr>
      </w:pPr>
      <w:r w:rsidRPr="00E262A2">
        <w:rPr>
          <w:i/>
        </w:rPr>
        <w:t xml:space="preserve">Hadley </w:t>
      </w:r>
      <w:proofErr w:type="spellStart"/>
      <w:r w:rsidRPr="00E262A2">
        <w:rPr>
          <w:i/>
        </w:rPr>
        <w:t>Skeffington-Vos</w:t>
      </w:r>
      <w:proofErr w:type="spellEnd"/>
      <w:r w:rsidRPr="00E262A2">
        <w:rPr>
          <w:i/>
        </w:rPr>
        <w:t>, 847-588-8009, hsv@vniles.com</w:t>
      </w:r>
      <w:r w:rsidR="005A4F9C" w:rsidRPr="00E262A2">
        <w:rPr>
          <w:i/>
        </w:rPr>
        <w:br/>
      </w: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p>
    <w:p w:rsidR="00BD3EF1" w:rsidRDefault="000E17EB" w:rsidP="00BD3EF1">
      <w:pPr>
        <w:spacing w:after="0" w:line="240" w:lineRule="auto"/>
      </w:pPr>
      <w:r w:rsidRPr="004C27B1">
        <w:rPr>
          <w:rFonts w:cstheme="minorHAnsi"/>
        </w:rPr>
        <w:t>__</w:t>
      </w:r>
      <w:r w:rsidR="00887440" w:rsidRPr="00E262A2">
        <w:rPr>
          <w:rFonts w:cstheme="minorHAnsi"/>
          <w:u w:val="single"/>
        </w:rPr>
        <w:t>x</w:t>
      </w:r>
      <w:r w:rsidRPr="004C27B1">
        <w:rPr>
          <w:rFonts w:cstheme="minorHAnsi"/>
        </w:rPr>
        <w:t xml:space="preserve">__ </w:t>
      </w:r>
      <w:r w:rsidR="00B638FE">
        <w:t>Local government</w:t>
      </w:r>
      <w:r w:rsidRPr="004C27B1">
        <w:br/>
      </w:r>
    </w:p>
    <w:p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72B05A51" wp14:editId="7285B75B">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sidR="00D42F1D">
        <w:rPr>
          <w:color w:val="000000" w:themeColor="text1"/>
        </w:rPr>
        <w:t>government</w:t>
      </w:r>
      <w:proofErr w:type="gramEnd"/>
      <w:r w:rsidR="00D42F1D">
        <w:rPr>
          <w:color w:val="000000" w:themeColor="text1"/>
        </w:rPr>
        <w:t xml:space="preserve">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0ED8077C" wp14:editId="10A3E968">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 or the RTA prior to submitting their application to discuss their project and the demonstration of local support.</w:t>
      </w:r>
    </w:p>
    <w:p w:rsidR="00BD3EF1" w:rsidRDefault="00BD3EF1" w:rsidP="00BD3EF1">
      <w:pPr>
        <w:spacing w:after="0" w:line="240" w:lineRule="auto"/>
      </w:pPr>
    </w:p>
    <w:p w:rsidR="00BD3EF1" w:rsidRPr="00981A13" w:rsidRDefault="00BD3EF1">
      <w:pPr>
        <w:rPr>
          <w:b/>
          <w:color w:val="548DD4" w:themeColor="text2" w:themeTint="99"/>
        </w:rPr>
      </w:pPr>
      <w:r w:rsidRPr="00981A13">
        <w:rPr>
          <w:b/>
          <w:color w:val="548DD4" w:themeColor="text2" w:themeTint="99"/>
        </w:rPr>
        <w:br w:type="page"/>
      </w:r>
    </w:p>
    <w:p w:rsidR="00BD3EF1" w:rsidRDefault="00BD3EF1" w:rsidP="00BD3EF1">
      <w:pPr>
        <w:spacing w:after="0" w:line="240" w:lineRule="auto"/>
        <w:rPr>
          <w:b/>
          <w:color w:val="548DD4" w:themeColor="text2" w:themeTint="99"/>
        </w:rPr>
      </w:pPr>
      <w:r>
        <w:rPr>
          <w:b/>
          <w:color w:val="548DD4" w:themeColor="text2" w:themeTint="99"/>
        </w:rPr>
        <w:lastRenderedPageBreak/>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 or RTA.)</w:t>
      </w:r>
    </w:p>
    <w:p w:rsidR="00BD3EF1" w:rsidRDefault="00BD3EF1" w:rsidP="00BD3EF1">
      <w:pPr>
        <w:spacing w:after="0" w:line="240" w:lineRule="auto"/>
      </w:pPr>
    </w:p>
    <w:p w:rsidR="003D1718" w:rsidRDefault="003D1718" w:rsidP="00B638FE">
      <w:pPr>
        <w:spacing w:after="0" w:line="240" w:lineRule="auto"/>
        <w:ind w:left="720" w:hanging="720"/>
      </w:pPr>
      <w:r>
        <w:t>_</w:t>
      </w:r>
      <w:r w:rsidR="00887440" w:rsidRPr="00E262A2">
        <w:rPr>
          <w:u w:val="single"/>
        </w:rPr>
        <w:t>x</w:t>
      </w:r>
      <w:r>
        <w:t xml:space="preserve">___ </w:t>
      </w:r>
      <w:proofErr w:type="gramStart"/>
      <w:r>
        <w:t>My</w:t>
      </w:r>
      <w:proofErr w:type="gramEnd"/>
      <w:r>
        <w:t xml:space="preserve"> project </w:t>
      </w:r>
      <w:r w:rsidR="00B638FE">
        <w:t>involves preparation of a plan.</w:t>
      </w:r>
    </w:p>
    <w:p w:rsidR="003D1718" w:rsidRDefault="003D1718" w:rsidP="00B638FE">
      <w:pPr>
        <w:spacing w:after="0" w:line="240" w:lineRule="auto"/>
        <w:ind w:left="720" w:hanging="720"/>
      </w:pPr>
      <w:r>
        <w:t xml:space="preserve">____ </w:t>
      </w:r>
      <w:proofErr w:type="gramStart"/>
      <w:r>
        <w:t>My</w:t>
      </w:r>
      <w:proofErr w:type="gramEnd"/>
      <w:r>
        <w:t xml:space="preserve"> project </w:t>
      </w:r>
      <w:r w:rsidR="00B638FE">
        <w:t>helps to implement</w:t>
      </w:r>
      <w:r>
        <w:t xml:space="preserve"> a past plan</w:t>
      </w:r>
      <w:r w:rsidR="00B638FE">
        <w:t>.</w:t>
      </w:r>
    </w:p>
    <w:p w:rsidR="00A87642" w:rsidRDefault="00A87642" w:rsidP="00B638FE">
      <w:pPr>
        <w:spacing w:after="0" w:line="240" w:lineRule="auto"/>
        <w:ind w:left="720" w:hanging="720"/>
      </w:pPr>
      <w:r w:rsidRPr="004C27B1">
        <w:t>___</w:t>
      </w:r>
      <w:r w:rsidR="00B638FE">
        <w:t>_</w:t>
      </w:r>
      <w:r>
        <w:t xml:space="preserve"> </w:t>
      </w:r>
      <w:proofErr w:type="gramStart"/>
      <w:r>
        <w:t>My</w:t>
      </w:r>
      <w:proofErr w:type="gramEnd"/>
      <w:r>
        <w:t xml:space="preserve"> project links land use, transportation, and housing.</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has direct relevance to public trans</w:t>
      </w:r>
      <w:r w:rsidR="000A5D46">
        <w:t xml:space="preserve">it and supports the use of the existing </w:t>
      </w:r>
      <w:r w:rsidR="00B638FE">
        <w:t xml:space="preserve">transit </w:t>
      </w:r>
      <w:r w:rsidR="000A5D46">
        <w:t>system</w:t>
      </w:r>
      <w:r>
        <w:t>.</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BD3EF1" w:rsidRPr="00BD3EF1" w:rsidRDefault="00BD3EF1" w:rsidP="00BD3EF1">
      <w:pPr>
        <w:spacing w:after="0" w:line="240" w:lineRule="auto"/>
      </w:pPr>
    </w:p>
    <w:p w:rsidR="00A87642" w:rsidRDefault="00A87642" w:rsidP="00BD3EF1">
      <w:pPr>
        <w:spacing w:after="0" w:line="240" w:lineRule="auto"/>
        <w:rPr>
          <w:b/>
          <w:color w:val="548DD4" w:themeColor="text2" w:themeTint="99"/>
        </w:rPr>
      </w:pPr>
      <w:r>
        <w:rPr>
          <w:b/>
          <w:color w:val="548DD4" w:themeColor="text2" w:themeTint="99"/>
        </w:rPr>
        <w:t>5. Project Location:</w:t>
      </w:r>
    </w:p>
    <w:p w:rsidR="00A87642" w:rsidRPr="00A87642" w:rsidRDefault="00A87642" w:rsidP="00BD3EF1">
      <w:pPr>
        <w:spacing w:after="0" w:line="240" w:lineRule="auto"/>
      </w:pPr>
      <w:r w:rsidRPr="00A87642">
        <w:t xml:space="preserve">Please </w:t>
      </w:r>
      <w:r>
        <w:t>provide a brief description of the location of your project.  You may include a map if that helps to describe location, but this is not required.  If your project helps to implement a past</w:t>
      </w:r>
      <w:r w:rsidR="005D1982">
        <w:t xml:space="preserve"> plan</w:t>
      </w:r>
      <w:r>
        <w:t>, please include a link to that plan.</w:t>
      </w:r>
    </w:p>
    <w:p w:rsidR="00E262A2" w:rsidRDefault="00E262A2" w:rsidP="00BD3EF1">
      <w:pPr>
        <w:spacing w:after="0" w:line="240" w:lineRule="auto"/>
      </w:pPr>
    </w:p>
    <w:p w:rsidR="00A87642" w:rsidRPr="00E262A2" w:rsidRDefault="00887440" w:rsidP="00BD3EF1">
      <w:pPr>
        <w:spacing w:after="0" w:line="240" w:lineRule="auto"/>
        <w:rPr>
          <w:i/>
        </w:rPr>
      </w:pPr>
      <w:r w:rsidRPr="00E262A2">
        <w:rPr>
          <w:i/>
        </w:rPr>
        <w:t>This project would be a comprehensive arts and culture plan for the entire Village of Niles.</w:t>
      </w:r>
      <w:r w:rsidR="00084543">
        <w:rPr>
          <w:i/>
        </w:rPr>
        <w:t xml:space="preserve">  This project w</w:t>
      </w:r>
      <w:r w:rsidR="00CE6A08">
        <w:rPr>
          <w:i/>
        </w:rPr>
        <w:t>ould relate to a past project</w:t>
      </w:r>
      <w:r w:rsidR="00455917">
        <w:rPr>
          <w:i/>
        </w:rPr>
        <w:t>, the</w:t>
      </w:r>
      <w:r w:rsidR="00084543">
        <w:rPr>
          <w:i/>
        </w:rPr>
        <w:t xml:space="preserve"> Niles 2030 Plan</w:t>
      </w:r>
      <w:r w:rsidR="004830A6">
        <w:rPr>
          <w:i/>
        </w:rPr>
        <w:t>,</w:t>
      </w:r>
      <w:r w:rsidR="00084543">
        <w:rPr>
          <w:i/>
        </w:rPr>
        <w:t xml:space="preserve"> and its references</w:t>
      </w:r>
      <w:r w:rsidR="00455917">
        <w:rPr>
          <w:i/>
        </w:rPr>
        <w:t xml:space="preserve"> and recommendation on</w:t>
      </w:r>
      <w:r w:rsidR="00084543">
        <w:rPr>
          <w:i/>
        </w:rPr>
        <w:t xml:space="preserve"> arts and culture</w:t>
      </w:r>
      <w:r w:rsidR="00084543" w:rsidRPr="00372A4A">
        <w:rPr>
          <w:i/>
        </w:rPr>
        <w:t>.</w:t>
      </w:r>
      <w:r w:rsidR="00372A4A" w:rsidRPr="00372A4A">
        <w:rPr>
          <w:i/>
        </w:rPr>
        <w:t xml:space="preserve"> This project could also serve to utilize and implement CMAP’s Arts and Culture Toolkit.</w:t>
      </w:r>
    </w:p>
    <w:p w:rsidR="00A87642" w:rsidRDefault="00A87642" w:rsidP="00BD3EF1">
      <w:pPr>
        <w:spacing w:after="0" w:line="240" w:lineRule="auto"/>
        <w:rPr>
          <w:b/>
          <w:color w:val="548DD4" w:themeColor="text2" w:themeTint="99"/>
        </w:rPr>
      </w:pPr>
    </w:p>
    <w:p w:rsidR="00A87642" w:rsidRDefault="00A87642" w:rsidP="00BD3EF1">
      <w:pPr>
        <w:spacing w:after="0" w:line="240" w:lineRule="auto"/>
        <w:rPr>
          <w:b/>
          <w:color w:val="548DD4" w:themeColor="text2" w:themeTint="99"/>
        </w:rPr>
      </w:pPr>
      <w:r>
        <w:rPr>
          <w:b/>
          <w:color w:val="548DD4" w:themeColor="text2" w:themeTint="99"/>
        </w:rPr>
        <w:t>6. Project Description:</w:t>
      </w:r>
    </w:p>
    <w:p w:rsidR="00E262A2" w:rsidRDefault="0025665C" w:rsidP="00BD3EF1">
      <w:pPr>
        <w:spacing w:after="0" w:line="240" w:lineRule="auto"/>
      </w:pPr>
      <w:r w:rsidRPr="000F42F4">
        <w:rPr>
          <w:b/>
        </w:rPr>
        <w:t>Please t</w:t>
      </w:r>
      <w:r w:rsidR="00A67AF7" w:rsidRPr="000F42F4">
        <w:rPr>
          <w:b/>
        </w:rPr>
        <w:t>ell us what you would like to do in your community</w:t>
      </w:r>
      <w:r w:rsidRPr="000F42F4">
        <w:rPr>
          <w:b/>
        </w:rPr>
        <w:t>, and what assistance is needed</w:t>
      </w:r>
      <w:r w:rsidR="000F42F4">
        <w:t xml:space="preserve">.  </w:t>
      </w:r>
      <w:r w:rsidR="00DE6128">
        <w:t>If</w:t>
      </w:r>
      <w:r w:rsidR="00EC574A">
        <w:t xml:space="preserve"> you have more than one idea</w:t>
      </w:r>
      <w:r w:rsidR="00DE6128">
        <w:t xml:space="preserve">, please </w:t>
      </w:r>
      <w:r w:rsidR="00100AE8">
        <w:t xml:space="preserve">submit </w:t>
      </w:r>
      <w:r w:rsidR="003D1718">
        <w:t xml:space="preserve">a separate application for each project.  </w:t>
      </w:r>
      <w:r w:rsidR="000F42F4">
        <w:t>Please be specific, but also brief</w:t>
      </w:r>
      <w:r w:rsidR="00A4718E">
        <w:t xml:space="preserve"> (less than </w:t>
      </w:r>
      <w:r w:rsidR="00243B30">
        <w:t>two</w:t>
      </w:r>
      <w:r w:rsidR="00A4718E">
        <w:t xml:space="preserve"> pages</w:t>
      </w:r>
      <w:r w:rsidR="005A2D46">
        <w:t xml:space="preserve"> per project idea</w:t>
      </w:r>
      <w:r w:rsidR="00A4718E">
        <w:t>)</w:t>
      </w:r>
      <w:r w:rsidRPr="004C27B1">
        <w:t>—</w:t>
      </w:r>
      <w:r w:rsidR="003C2722" w:rsidRPr="004C27B1">
        <w:t>we</w:t>
      </w:r>
      <w:r w:rsidRPr="004C27B1">
        <w:t xml:space="preserve"> </w:t>
      </w:r>
      <w:r w:rsidR="003C2722" w:rsidRPr="004C27B1">
        <w:t xml:space="preserve">simply want </w:t>
      </w:r>
      <w:r w:rsidR="000F42F4">
        <w:t xml:space="preserve">to have a basic </w:t>
      </w:r>
      <w:r w:rsidR="003C2722" w:rsidRPr="004C27B1">
        <w:t xml:space="preserve">understanding of what you want to do. </w:t>
      </w:r>
      <w:r w:rsidR="001E6727" w:rsidRPr="004C27B1">
        <w:t xml:space="preserve"> CMAP </w:t>
      </w:r>
      <w:r w:rsidR="00A87642">
        <w:t xml:space="preserve">and RTA </w:t>
      </w:r>
      <w:r w:rsidR="001E6727" w:rsidRPr="004C27B1">
        <w:t>staff will follow-up with you if we need any additional information to fully u</w:t>
      </w:r>
      <w:r w:rsidR="00503034">
        <w:t xml:space="preserve">nderstand your proposed project. </w:t>
      </w:r>
      <w:r w:rsidR="000B53CF">
        <w:t xml:space="preserve"> </w:t>
      </w:r>
      <w:r w:rsidR="00A822AD">
        <w:t>(</w:t>
      </w:r>
      <w:r w:rsidR="007428F1">
        <w:t xml:space="preserve">Please include any additional information that is relevant, </w:t>
      </w:r>
      <w:r w:rsidR="00A87642">
        <w:t>preferably by</w:t>
      </w:r>
      <w:r w:rsidR="007428F1">
        <w:t xml:space="preserve"> providing links to online documents.</w:t>
      </w:r>
      <w:r w:rsidR="00A822AD">
        <w:t>)</w:t>
      </w:r>
      <w:r w:rsidR="00A87642">
        <w:br/>
      </w:r>
    </w:p>
    <w:p w:rsidR="00AF4C75" w:rsidRPr="00E262A2" w:rsidRDefault="0068308C" w:rsidP="000B53CF">
      <w:pPr>
        <w:spacing w:after="0" w:line="240" w:lineRule="auto"/>
        <w:jc w:val="both"/>
        <w:rPr>
          <w:i/>
        </w:rPr>
      </w:pPr>
      <w:r w:rsidRPr="00E262A2">
        <w:rPr>
          <w:i/>
        </w:rPr>
        <w:t>The Village of Niles is applying for a comprehensive arts and culture plan grant.  When the Niles Environmental Practice Committee (EPC) was formed, they were without direction.  There was no focus to the group and nothing could be accomplished.  When Niles looks at accomplishing goals in the area of arts and culture, the same scenario is playing out as was with the EPC.  A guiding document would provide a great benefit to the staff and</w:t>
      </w:r>
      <w:r w:rsidR="000B53CF">
        <w:rPr>
          <w:i/>
        </w:rPr>
        <w:t xml:space="preserve"> eventually the</w:t>
      </w:r>
      <w:r w:rsidRPr="00E262A2">
        <w:rPr>
          <w:i/>
        </w:rPr>
        <w:t xml:space="preserve"> community in Niles.  CMAP has a published Arts and Culture Toolkit, </w:t>
      </w:r>
      <w:r w:rsidR="00372A4A">
        <w:rPr>
          <w:i/>
        </w:rPr>
        <w:t>which Niles has referenced and used to get to where it’s at today</w:t>
      </w:r>
      <w:r w:rsidR="00EA5F4C">
        <w:rPr>
          <w:i/>
        </w:rPr>
        <w:t xml:space="preserve"> in regards to the arts</w:t>
      </w:r>
      <w:r w:rsidR="00372A4A">
        <w:rPr>
          <w:i/>
        </w:rPr>
        <w:t xml:space="preserve">.  However, </w:t>
      </w:r>
      <w:r w:rsidRPr="00E262A2">
        <w:rPr>
          <w:i/>
        </w:rPr>
        <w:t xml:space="preserve">the Village of Niles </w:t>
      </w:r>
      <w:r w:rsidR="000B53CF">
        <w:rPr>
          <w:i/>
        </w:rPr>
        <w:t>requires</w:t>
      </w:r>
      <w:r w:rsidRPr="00E262A2">
        <w:rPr>
          <w:i/>
        </w:rPr>
        <w:t xml:space="preserve"> something </w:t>
      </w:r>
      <w:r w:rsidR="00372A4A">
        <w:rPr>
          <w:i/>
        </w:rPr>
        <w:t xml:space="preserve">specifically </w:t>
      </w:r>
      <w:r w:rsidRPr="00E262A2">
        <w:rPr>
          <w:i/>
        </w:rPr>
        <w:t>targeted to our unique community.</w:t>
      </w:r>
    </w:p>
    <w:p w:rsidR="0068308C" w:rsidRPr="00E262A2" w:rsidRDefault="0068308C" w:rsidP="000B53CF">
      <w:pPr>
        <w:spacing w:after="0" w:line="240" w:lineRule="auto"/>
        <w:jc w:val="both"/>
        <w:rPr>
          <w:i/>
        </w:rPr>
      </w:pPr>
    </w:p>
    <w:p w:rsidR="0068308C" w:rsidRDefault="009B3E9B" w:rsidP="000B53CF">
      <w:pPr>
        <w:spacing w:after="0" w:line="240" w:lineRule="auto"/>
        <w:jc w:val="both"/>
        <w:rPr>
          <w:i/>
        </w:rPr>
      </w:pPr>
      <w:r>
        <w:rPr>
          <w:i/>
        </w:rPr>
        <w:t>The Village of Niles</w:t>
      </w:r>
      <w:r w:rsidR="0068308C" w:rsidRPr="00E262A2">
        <w:rPr>
          <w:i/>
        </w:rPr>
        <w:t xml:space="preserve"> envision</w:t>
      </w:r>
      <w:r>
        <w:rPr>
          <w:i/>
        </w:rPr>
        <w:t>s</w:t>
      </w:r>
      <w:r w:rsidR="0068308C" w:rsidRPr="00E262A2">
        <w:rPr>
          <w:i/>
        </w:rPr>
        <w:t xml:space="preserve"> </w:t>
      </w:r>
      <w:r>
        <w:rPr>
          <w:i/>
        </w:rPr>
        <w:t>an</w:t>
      </w:r>
      <w:r w:rsidR="0068308C" w:rsidRPr="00E262A2">
        <w:rPr>
          <w:i/>
        </w:rPr>
        <w:t xml:space="preserve"> Arts and Culture Comprehensive Plan much like </w:t>
      </w:r>
      <w:r>
        <w:rPr>
          <w:i/>
        </w:rPr>
        <w:t>the</w:t>
      </w:r>
      <w:r w:rsidR="0068308C" w:rsidRPr="00E262A2">
        <w:rPr>
          <w:i/>
        </w:rPr>
        <w:t xml:space="preserve"> Niles 2030 Plan and Environmental Action Plan: a direction for the Village of Niles in the area of arts and culture.</w:t>
      </w:r>
    </w:p>
    <w:p w:rsidR="000B53CF" w:rsidRDefault="000B53CF" w:rsidP="000B53CF">
      <w:pPr>
        <w:spacing w:after="0" w:line="240" w:lineRule="auto"/>
        <w:jc w:val="both"/>
        <w:rPr>
          <w:i/>
        </w:rPr>
      </w:pPr>
    </w:p>
    <w:p w:rsidR="000B53CF" w:rsidRPr="00E262A2" w:rsidRDefault="000B53CF" w:rsidP="000B53CF">
      <w:pPr>
        <w:spacing w:after="0" w:line="240" w:lineRule="auto"/>
        <w:jc w:val="both"/>
        <w:rPr>
          <w:i/>
        </w:rPr>
      </w:pPr>
      <w:r>
        <w:rPr>
          <w:i/>
        </w:rPr>
        <w:t xml:space="preserve">The Village is already moving forward in the area of arts and culture.  An informal arts committee has been formed and is exploring initiatives such as a 1% for Arts Fee and public displays of art.  This is </w:t>
      </w:r>
      <w:r w:rsidR="00174CEA">
        <w:rPr>
          <w:i/>
        </w:rPr>
        <w:t>a</w:t>
      </w:r>
      <w:r>
        <w:rPr>
          <w:i/>
        </w:rPr>
        <w:t xml:space="preserve"> unifying project that has attracted the attention of the Chamber of Commerce, Niles Public Library, Niles Historical Society, local schools and local artists.</w:t>
      </w:r>
      <w:r w:rsidR="00205EBA">
        <w:rPr>
          <w:i/>
        </w:rPr>
        <w:t xml:space="preserve">  A</w:t>
      </w:r>
      <w:r w:rsidR="00205EBA" w:rsidRPr="00E262A2">
        <w:rPr>
          <w:i/>
        </w:rPr>
        <w:t xml:space="preserve"> comprehensive arts and culture plan</w:t>
      </w:r>
      <w:r w:rsidR="00205EBA" w:rsidRPr="00205EBA">
        <w:rPr>
          <w:i/>
        </w:rPr>
        <w:t xml:space="preserve"> </w:t>
      </w:r>
      <w:r w:rsidR="00205EBA">
        <w:rPr>
          <w:i/>
        </w:rPr>
        <w:t>is needed to really make an impact in Niles.</w:t>
      </w:r>
    </w:p>
    <w:sectPr w:rsidR="000B53CF" w:rsidRPr="00E262A2"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53903"/>
    <w:rsid w:val="000732DF"/>
    <w:rsid w:val="00084543"/>
    <w:rsid w:val="000A5D46"/>
    <w:rsid w:val="000B53CF"/>
    <w:rsid w:val="000D1017"/>
    <w:rsid w:val="000D2DBE"/>
    <w:rsid w:val="000D53BD"/>
    <w:rsid w:val="000E17EB"/>
    <w:rsid w:val="000F2E5A"/>
    <w:rsid w:val="000F42F4"/>
    <w:rsid w:val="00100AE8"/>
    <w:rsid w:val="00124810"/>
    <w:rsid w:val="001338AB"/>
    <w:rsid w:val="00165FF6"/>
    <w:rsid w:val="00174CEA"/>
    <w:rsid w:val="001760DD"/>
    <w:rsid w:val="00197AA7"/>
    <w:rsid w:val="001B7CC5"/>
    <w:rsid w:val="001C49F3"/>
    <w:rsid w:val="001D7D0A"/>
    <w:rsid w:val="001E6727"/>
    <w:rsid w:val="001E79E4"/>
    <w:rsid w:val="001F0DBE"/>
    <w:rsid w:val="00205EBA"/>
    <w:rsid w:val="00217A51"/>
    <w:rsid w:val="002409E5"/>
    <w:rsid w:val="00243B30"/>
    <w:rsid w:val="00250BFE"/>
    <w:rsid w:val="00251565"/>
    <w:rsid w:val="0025665C"/>
    <w:rsid w:val="002761F6"/>
    <w:rsid w:val="00286B3A"/>
    <w:rsid w:val="0029412E"/>
    <w:rsid w:val="002A1F2C"/>
    <w:rsid w:val="002C7D3D"/>
    <w:rsid w:val="002D5531"/>
    <w:rsid w:val="002E5DBE"/>
    <w:rsid w:val="002F5D6C"/>
    <w:rsid w:val="00300F0D"/>
    <w:rsid w:val="0032709C"/>
    <w:rsid w:val="00331242"/>
    <w:rsid w:val="003658B3"/>
    <w:rsid w:val="00366B8C"/>
    <w:rsid w:val="00372A4A"/>
    <w:rsid w:val="0038359A"/>
    <w:rsid w:val="00385D4B"/>
    <w:rsid w:val="00391AA3"/>
    <w:rsid w:val="003A1C52"/>
    <w:rsid w:val="003B2D65"/>
    <w:rsid w:val="003B466A"/>
    <w:rsid w:val="003B58CE"/>
    <w:rsid w:val="003B6E6D"/>
    <w:rsid w:val="003C2722"/>
    <w:rsid w:val="003D1718"/>
    <w:rsid w:val="003E755B"/>
    <w:rsid w:val="003F2651"/>
    <w:rsid w:val="003F69A3"/>
    <w:rsid w:val="003F7216"/>
    <w:rsid w:val="0041243E"/>
    <w:rsid w:val="0043475D"/>
    <w:rsid w:val="004417EF"/>
    <w:rsid w:val="00455917"/>
    <w:rsid w:val="00471C0B"/>
    <w:rsid w:val="004820C2"/>
    <w:rsid w:val="004830A6"/>
    <w:rsid w:val="00494574"/>
    <w:rsid w:val="004960F5"/>
    <w:rsid w:val="004B48FB"/>
    <w:rsid w:val="004C27B1"/>
    <w:rsid w:val="004C2D2D"/>
    <w:rsid w:val="004D28DD"/>
    <w:rsid w:val="004E2A7E"/>
    <w:rsid w:val="004E5A39"/>
    <w:rsid w:val="00501F1C"/>
    <w:rsid w:val="00503034"/>
    <w:rsid w:val="0051092D"/>
    <w:rsid w:val="00521CB5"/>
    <w:rsid w:val="0054233C"/>
    <w:rsid w:val="00551A46"/>
    <w:rsid w:val="005652A1"/>
    <w:rsid w:val="00583841"/>
    <w:rsid w:val="005A2D46"/>
    <w:rsid w:val="005A42A4"/>
    <w:rsid w:val="005A4F9C"/>
    <w:rsid w:val="005A6D52"/>
    <w:rsid w:val="005D1982"/>
    <w:rsid w:val="005D5587"/>
    <w:rsid w:val="005E1EA1"/>
    <w:rsid w:val="005F3760"/>
    <w:rsid w:val="00630E16"/>
    <w:rsid w:val="00653FE9"/>
    <w:rsid w:val="0066477B"/>
    <w:rsid w:val="00682EE2"/>
    <w:rsid w:val="0068308C"/>
    <w:rsid w:val="006857A5"/>
    <w:rsid w:val="00692260"/>
    <w:rsid w:val="006C4FF7"/>
    <w:rsid w:val="006D5F29"/>
    <w:rsid w:val="006F0AF7"/>
    <w:rsid w:val="007039DF"/>
    <w:rsid w:val="007049D8"/>
    <w:rsid w:val="0072012B"/>
    <w:rsid w:val="007428F1"/>
    <w:rsid w:val="0077509D"/>
    <w:rsid w:val="007769C8"/>
    <w:rsid w:val="00781DD2"/>
    <w:rsid w:val="00784C55"/>
    <w:rsid w:val="00785E8B"/>
    <w:rsid w:val="007900EF"/>
    <w:rsid w:val="00791A32"/>
    <w:rsid w:val="00792533"/>
    <w:rsid w:val="007C1B3B"/>
    <w:rsid w:val="007C67CE"/>
    <w:rsid w:val="0080672E"/>
    <w:rsid w:val="00812756"/>
    <w:rsid w:val="008303BF"/>
    <w:rsid w:val="008435B0"/>
    <w:rsid w:val="00843F95"/>
    <w:rsid w:val="00862920"/>
    <w:rsid w:val="00887440"/>
    <w:rsid w:val="008B4D6D"/>
    <w:rsid w:val="008B56F0"/>
    <w:rsid w:val="008C7BA3"/>
    <w:rsid w:val="008D14F3"/>
    <w:rsid w:val="008E1FE9"/>
    <w:rsid w:val="008E673A"/>
    <w:rsid w:val="00900796"/>
    <w:rsid w:val="00915D15"/>
    <w:rsid w:val="00925BE9"/>
    <w:rsid w:val="009264D6"/>
    <w:rsid w:val="0094558B"/>
    <w:rsid w:val="00960D44"/>
    <w:rsid w:val="00981A13"/>
    <w:rsid w:val="009871A8"/>
    <w:rsid w:val="00993C47"/>
    <w:rsid w:val="009A57ED"/>
    <w:rsid w:val="009B3E9B"/>
    <w:rsid w:val="009D653C"/>
    <w:rsid w:val="00A0020D"/>
    <w:rsid w:val="00A05B33"/>
    <w:rsid w:val="00A105B3"/>
    <w:rsid w:val="00A10645"/>
    <w:rsid w:val="00A177CA"/>
    <w:rsid w:val="00A35EEA"/>
    <w:rsid w:val="00A4718E"/>
    <w:rsid w:val="00A55FA4"/>
    <w:rsid w:val="00A67363"/>
    <w:rsid w:val="00A67AF7"/>
    <w:rsid w:val="00A822AD"/>
    <w:rsid w:val="00A84672"/>
    <w:rsid w:val="00A87642"/>
    <w:rsid w:val="00AA455E"/>
    <w:rsid w:val="00AC6943"/>
    <w:rsid w:val="00AC6D36"/>
    <w:rsid w:val="00AC759D"/>
    <w:rsid w:val="00AC7E14"/>
    <w:rsid w:val="00AD4BCE"/>
    <w:rsid w:val="00AF4C75"/>
    <w:rsid w:val="00AF4CFF"/>
    <w:rsid w:val="00B55284"/>
    <w:rsid w:val="00B638FE"/>
    <w:rsid w:val="00B73F2A"/>
    <w:rsid w:val="00B917EB"/>
    <w:rsid w:val="00BB6A0C"/>
    <w:rsid w:val="00BC318B"/>
    <w:rsid w:val="00BC3AB2"/>
    <w:rsid w:val="00BD3EF1"/>
    <w:rsid w:val="00BF5BC2"/>
    <w:rsid w:val="00BF65C6"/>
    <w:rsid w:val="00C05F13"/>
    <w:rsid w:val="00C167F6"/>
    <w:rsid w:val="00C22340"/>
    <w:rsid w:val="00C27815"/>
    <w:rsid w:val="00C42067"/>
    <w:rsid w:val="00C561F1"/>
    <w:rsid w:val="00C65C16"/>
    <w:rsid w:val="00C76CFE"/>
    <w:rsid w:val="00C7724E"/>
    <w:rsid w:val="00C8325C"/>
    <w:rsid w:val="00C8708A"/>
    <w:rsid w:val="00C95539"/>
    <w:rsid w:val="00C95C38"/>
    <w:rsid w:val="00CA3595"/>
    <w:rsid w:val="00CA64D7"/>
    <w:rsid w:val="00CE5447"/>
    <w:rsid w:val="00CE6A08"/>
    <w:rsid w:val="00D42F1D"/>
    <w:rsid w:val="00D5327E"/>
    <w:rsid w:val="00D551C3"/>
    <w:rsid w:val="00D55DA7"/>
    <w:rsid w:val="00D65F68"/>
    <w:rsid w:val="00D82483"/>
    <w:rsid w:val="00D96C8E"/>
    <w:rsid w:val="00DA2DAF"/>
    <w:rsid w:val="00DB1DF6"/>
    <w:rsid w:val="00DC5D57"/>
    <w:rsid w:val="00DD320B"/>
    <w:rsid w:val="00DD3CE4"/>
    <w:rsid w:val="00DE6128"/>
    <w:rsid w:val="00DF3D82"/>
    <w:rsid w:val="00DF7E94"/>
    <w:rsid w:val="00E262A2"/>
    <w:rsid w:val="00E7585D"/>
    <w:rsid w:val="00EA5472"/>
    <w:rsid w:val="00EA5EAA"/>
    <w:rsid w:val="00EA5F4C"/>
    <w:rsid w:val="00EC574A"/>
    <w:rsid w:val="00EE21A6"/>
    <w:rsid w:val="00F10E85"/>
    <w:rsid w:val="00F273EE"/>
    <w:rsid w:val="00F34D20"/>
    <w:rsid w:val="00F5543A"/>
    <w:rsid w:val="00F671FC"/>
    <w:rsid w:val="00F97537"/>
    <w:rsid w:val="00F97FB7"/>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achicago.com/applications" TargetMode="Externa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pplications@rtachica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E442D-B0E7-4E7A-8E09-6D0FD818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Tabbert, Heather</cp:lastModifiedBy>
  <cp:revision>2</cp:revision>
  <cp:lastPrinted>2012-05-07T19:38:00Z</cp:lastPrinted>
  <dcterms:created xsi:type="dcterms:W3CDTF">2014-06-26T16:31:00Z</dcterms:created>
  <dcterms:modified xsi:type="dcterms:W3CDTF">2014-06-26T16:31:00Z</dcterms:modified>
</cp:coreProperties>
</file>