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5E" w:rsidRPr="00877A9E" w:rsidRDefault="0086495E" w:rsidP="0086495E">
      <w:pPr>
        <w:pStyle w:val="Heading2"/>
        <w:spacing w:before="0"/>
        <w:rPr>
          <w:rFonts w:ascii="Palatino Linotype" w:hAnsi="Palatino Linotype"/>
        </w:rPr>
      </w:pPr>
      <w:bookmarkStart w:id="0" w:name="_GoBack"/>
      <w:bookmarkEnd w:id="0"/>
      <w:r w:rsidRPr="00877A9E">
        <w:rPr>
          <w:rFonts w:ascii="Palatino Linotype" w:hAnsi="Palatino Linotype"/>
        </w:rPr>
        <w:t>Reform State and Local Tax Policy</w:t>
      </w:r>
    </w:p>
    <w:p w:rsidR="0086495E" w:rsidRPr="00877A9E" w:rsidRDefault="0086495E" w:rsidP="0086495E">
      <w:pPr>
        <w:rPr>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0"/>
        <w:gridCol w:w="1622"/>
        <w:gridCol w:w="3301"/>
        <w:gridCol w:w="2653"/>
      </w:tblGrid>
      <w:tr w:rsidR="007F06A8" w:rsidRPr="00877A9E" w:rsidTr="007F06A8">
        <w:trPr>
          <w:jc w:val="center"/>
        </w:trPr>
        <w:tc>
          <w:tcPr>
            <w:tcW w:w="2000" w:type="dxa"/>
            <w:tcBorders>
              <w:top w:val="single" w:sz="4" w:space="0" w:color="000000"/>
              <w:left w:val="single" w:sz="4" w:space="0" w:color="000000"/>
              <w:bottom w:val="single" w:sz="4" w:space="0" w:color="000000"/>
              <w:right w:val="single" w:sz="4" w:space="0" w:color="000000"/>
            </w:tcBorders>
          </w:tcPr>
          <w:p w:rsidR="007F06A8" w:rsidRPr="0057795D" w:rsidRDefault="007F06A8" w:rsidP="008872D2">
            <w:pPr>
              <w:rPr>
                <w:b/>
                <w:strike/>
                <w:szCs w:val="22"/>
              </w:rPr>
            </w:pPr>
            <w:r w:rsidRPr="0057795D">
              <w:rPr>
                <w:i/>
                <w:strike/>
                <w:szCs w:val="22"/>
              </w:rPr>
              <w:t xml:space="preserve"> </w:t>
            </w:r>
            <w:r w:rsidRPr="0057795D">
              <w:rPr>
                <w:b/>
                <w:strike/>
                <w:szCs w:val="22"/>
              </w:rPr>
              <w:t>Action</w:t>
            </w:r>
          </w:p>
        </w:tc>
        <w:tc>
          <w:tcPr>
            <w:tcW w:w="1622" w:type="dxa"/>
            <w:tcBorders>
              <w:top w:val="single" w:sz="4" w:space="0" w:color="000000"/>
              <w:left w:val="single" w:sz="4" w:space="0" w:color="000000"/>
              <w:bottom w:val="single" w:sz="4" w:space="0" w:color="000000"/>
              <w:right w:val="single" w:sz="4" w:space="0" w:color="000000"/>
            </w:tcBorders>
          </w:tcPr>
          <w:p w:rsidR="007F06A8" w:rsidRPr="0057795D" w:rsidRDefault="007F06A8" w:rsidP="008872D2">
            <w:pPr>
              <w:rPr>
                <w:b/>
                <w:strike/>
                <w:szCs w:val="22"/>
              </w:rPr>
            </w:pPr>
            <w:r w:rsidRPr="0057795D">
              <w:rPr>
                <w:b/>
                <w:strike/>
                <w:szCs w:val="22"/>
              </w:rPr>
              <w:t>Lead Implementers</w:t>
            </w:r>
          </w:p>
        </w:tc>
        <w:tc>
          <w:tcPr>
            <w:tcW w:w="3301" w:type="dxa"/>
            <w:tcBorders>
              <w:top w:val="single" w:sz="4" w:space="0" w:color="000000"/>
              <w:left w:val="single" w:sz="4" w:space="0" w:color="000000"/>
              <w:bottom w:val="single" w:sz="4" w:space="0" w:color="000000"/>
              <w:right w:val="single" w:sz="4" w:space="0" w:color="000000"/>
            </w:tcBorders>
          </w:tcPr>
          <w:p w:rsidR="007F06A8" w:rsidRPr="0057795D" w:rsidRDefault="007F06A8" w:rsidP="008872D2">
            <w:pPr>
              <w:rPr>
                <w:b/>
                <w:strike/>
                <w:szCs w:val="22"/>
              </w:rPr>
            </w:pPr>
            <w:r w:rsidRPr="0057795D">
              <w:rPr>
                <w:b/>
                <w:strike/>
                <w:szCs w:val="22"/>
              </w:rPr>
              <w:t>Specifics</w:t>
            </w:r>
          </w:p>
        </w:tc>
        <w:tc>
          <w:tcPr>
            <w:tcW w:w="2653" w:type="dxa"/>
            <w:tcBorders>
              <w:top w:val="single" w:sz="4" w:space="0" w:color="000000"/>
              <w:left w:val="single" w:sz="4" w:space="0" w:color="000000"/>
              <w:bottom w:val="single" w:sz="4" w:space="0" w:color="000000"/>
              <w:right w:val="single" w:sz="4" w:space="0" w:color="000000"/>
            </w:tcBorders>
          </w:tcPr>
          <w:p w:rsidR="003438FF" w:rsidRPr="0057795D" w:rsidRDefault="007F06A8" w:rsidP="008872D2">
            <w:pPr>
              <w:rPr>
                <w:b/>
                <w:strike/>
                <w:szCs w:val="22"/>
              </w:rPr>
            </w:pPr>
            <w:r w:rsidRPr="0057795D">
              <w:rPr>
                <w:b/>
                <w:strike/>
                <w:szCs w:val="22"/>
              </w:rPr>
              <w:t>Retain/Revise/</w:t>
            </w:r>
          </w:p>
          <w:p w:rsidR="007F06A8" w:rsidRPr="0057795D" w:rsidRDefault="003438FF" w:rsidP="008872D2">
            <w:pPr>
              <w:rPr>
                <w:b/>
                <w:strike/>
                <w:szCs w:val="22"/>
              </w:rPr>
            </w:pPr>
            <w:r w:rsidRPr="0057795D">
              <w:rPr>
                <w:rFonts w:cs="Arial"/>
                <w:b/>
                <w:strike/>
                <w:szCs w:val="22"/>
              </w:rPr>
              <w:t>Complete/</w:t>
            </w:r>
            <w:r w:rsidR="007F06A8" w:rsidRPr="0057795D">
              <w:rPr>
                <w:b/>
                <w:strike/>
                <w:szCs w:val="22"/>
              </w:rPr>
              <w:t>Delete</w:t>
            </w:r>
          </w:p>
        </w:tc>
      </w:tr>
      <w:tr w:rsidR="007F06A8" w:rsidRPr="00877A9E" w:rsidTr="007F06A8">
        <w:trPr>
          <w:jc w:val="center"/>
        </w:trPr>
        <w:tc>
          <w:tcPr>
            <w:tcW w:w="2000" w:type="dxa"/>
            <w:tcBorders>
              <w:top w:val="single" w:sz="4" w:space="0" w:color="000000"/>
              <w:left w:val="single" w:sz="4" w:space="0" w:color="000000"/>
              <w:bottom w:val="single" w:sz="4" w:space="0" w:color="000000"/>
              <w:right w:val="single" w:sz="4" w:space="0" w:color="000000"/>
            </w:tcBorders>
          </w:tcPr>
          <w:p w:rsidR="007F06A8" w:rsidRPr="0057795D" w:rsidRDefault="007F06A8" w:rsidP="008872D2">
            <w:pPr>
              <w:rPr>
                <w:strike/>
                <w:szCs w:val="22"/>
              </w:rPr>
            </w:pPr>
            <w:r w:rsidRPr="0057795D">
              <w:rPr>
                <w:strike/>
                <w:szCs w:val="22"/>
              </w:rPr>
              <w:t>Create Task Force</w:t>
            </w:r>
          </w:p>
        </w:tc>
        <w:tc>
          <w:tcPr>
            <w:tcW w:w="1622" w:type="dxa"/>
            <w:tcBorders>
              <w:top w:val="single" w:sz="4" w:space="0" w:color="000000"/>
              <w:left w:val="single" w:sz="4" w:space="0" w:color="000000"/>
              <w:bottom w:val="single" w:sz="4" w:space="0" w:color="000000"/>
              <w:right w:val="single" w:sz="4" w:space="0" w:color="000000"/>
            </w:tcBorders>
          </w:tcPr>
          <w:p w:rsidR="007F06A8" w:rsidRPr="0057795D" w:rsidRDefault="007F06A8" w:rsidP="008872D2">
            <w:pPr>
              <w:rPr>
                <w:strike/>
                <w:szCs w:val="22"/>
              </w:rPr>
            </w:pPr>
            <w:r w:rsidRPr="0057795D">
              <w:rPr>
                <w:strike/>
                <w:szCs w:val="22"/>
              </w:rPr>
              <w:t>CMAP</w:t>
            </w:r>
          </w:p>
        </w:tc>
        <w:tc>
          <w:tcPr>
            <w:tcW w:w="3301" w:type="dxa"/>
            <w:tcBorders>
              <w:top w:val="single" w:sz="4" w:space="0" w:color="000000"/>
              <w:left w:val="single" w:sz="4" w:space="0" w:color="000000"/>
              <w:bottom w:val="single" w:sz="4" w:space="0" w:color="000000"/>
              <w:right w:val="single" w:sz="4" w:space="0" w:color="000000"/>
            </w:tcBorders>
          </w:tcPr>
          <w:p w:rsidR="007F06A8" w:rsidRPr="0057795D" w:rsidRDefault="007F06A8" w:rsidP="008872D2">
            <w:pPr>
              <w:rPr>
                <w:strike/>
                <w:szCs w:val="22"/>
              </w:rPr>
            </w:pPr>
            <w:r w:rsidRPr="0057795D">
              <w:rPr>
                <w:strike/>
                <w:szCs w:val="22"/>
              </w:rPr>
              <w:t xml:space="preserve">Membership on the task force should include local governments, academic experts, civic organizations, and the business community.  </w:t>
            </w:r>
            <w:r w:rsidRPr="0057795D">
              <w:rPr>
                <w:strike/>
                <w:color w:val="000000"/>
                <w:szCs w:val="22"/>
              </w:rPr>
              <w:t xml:space="preserve">The CMAP Board will have ultimate discretion in terms of recruiting, forming, and managing this group.  </w:t>
            </w:r>
            <w:r w:rsidRPr="0057795D">
              <w:rPr>
                <w:strike/>
                <w:szCs w:val="22"/>
              </w:rPr>
              <w:t>CMAP will provide staff support to the task force and CMAP staff will lead the development of policy briefs, reports, and analysis on these matters.</w:t>
            </w:r>
            <w:r w:rsidRPr="0057795D">
              <w:rPr>
                <w:strike/>
                <w:szCs w:val="22"/>
              </w:rPr>
              <w:br/>
            </w:r>
          </w:p>
        </w:tc>
        <w:tc>
          <w:tcPr>
            <w:tcW w:w="2653" w:type="dxa"/>
            <w:tcBorders>
              <w:top w:val="single" w:sz="4" w:space="0" w:color="000000"/>
              <w:left w:val="single" w:sz="4" w:space="0" w:color="000000"/>
              <w:bottom w:val="single" w:sz="4" w:space="0" w:color="000000"/>
              <w:right w:val="single" w:sz="4" w:space="0" w:color="000000"/>
            </w:tcBorders>
          </w:tcPr>
          <w:p w:rsidR="007F06A8" w:rsidRPr="0057795D" w:rsidRDefault="003438FF" w:rsidP="008872D2">
            <w:pPr>
              <w:rPr>
                <w:strike/>
                <w:szCs w:val="22"/>
              </w:rPr>
            </w:pPr>
            <w:r w:rsidRPr="0057795D">
              <w:rPr>
                <w:strike/>
                <w:szCs w:val="22"/>
              </w:rPr>
              <w:t>Complete</w:t>
            </w:r>
          </w:p>
        </w:tc>
      </w:tr>
    </w:tbl>
    <w:p w:rsidR="0086495E" w:rsidRPr="00877A9E" w:rsidRDefault="0086495E" w:rsidP="0086495E">
      <w:pPr>
        <w:rPr>
          <w:szCs w:val="22"/>
        </w:rPr>
      </w:pPr>
    </w:p>
    <w:p w:rsidR="0086495E" w:rsidRPr="00877A9E" w:rsidRDefault="0086495E" w:rsidP="0086495E">
      <w:pPr>
        <w:rPr>
          <w:b/>
          <w:szCs w:val="22"/>
        </w:rPr>
      </w:pPr>
      <w:r w:rsidRPr="00877A9E">
        <w:rPr>
          <w:b/>
          <w:szCs w:val="22"/>
        </w:rPr>
        <w:t>Implementation Examples:</w:t>
      </w:r>
    </w:p>
    <w:p w:rsidR="0086495E" w:rsidRPr="00665CE0" w:rsidRDefault="0086495E" w:rsidP="00665CE0">
      <w:pPr>
        <w:pStyle w:val="ListParagraph"/>
        <w:numPr>
          <w:ilvl w:val="0"/>
          <w:numId w:val="2"/>
        </w:numPr>
      </w:pPr>
      <w:r w:rsidRPr="00665CE0">
        <w:t xml:space="preserve">CMAP’s </w:t>
      </w:r>
      <w:hyperlink r:id="rId9" w:history="1">
        <w:r w:rsidRPr="00665CE0">
          <w:rPr>
            <w:rStyle w:val="Hyperlink"/>
          </w:rPr>
          <w:t>Regional Tax Policy Task Force</w:t>
        </w:r>
      </w:hyperlink>
      <w:r w:rsidRPr="00665CE0">
        <w:t xml:space="preserve"> convened in 2011</w:t>
      </w:r>
      <w:r w:rsidR="00BB4F11" w:rsidRPr="00665CE0">
        <w:t xml:space="preserve"> </w:t>
      </w:r>
      <w:r w:rsidRPr="00665CE0">
        <w:t>and issued a final report to the CMAP Board in January 2012.</w:t>
      </w:r>
    </w:p>
    <w:p w:rsidR="007F06A8" w:rsidRDefault="007F06A8" w:rsidP="0086495E">
      <w:pPr>
        <w:rPr>
          <w:szCs w:val="22"/>
        </w:rPr>
      </w:pPr>
    </w:p>
    <w:p w:rsidR="00F961A1" w:rsidRDefault="007F06A8" w:rsidP="0086495E">
      <w:pPr>
        <w:rPr>
          <w:b/>
          <w:szCs w:val="22"/>
        </w:rPr>
      </w:pPr>
      <w:r>
        <w:rPr>
          <w:b/>
          <w:szCs w:val="22"/>
        </w:rPr>
        <w:t>Rationale for Retain/Revise/</w:t>
      </w:r>
      <w:r w:rsidR="00DF4888">
        <w:rPr>
          <w:b/>
          <w:szCs w:val="22"/>
        </w:rPr>
        <w:t>Complete/</w:t>
      </w:r>
      <w:r>
        <w:rPr>
          <w:b/>
          <w:szCs w:val="22"/>
        </w:rPr>
        <w:t>Delete Assessment:</w:t>
      </w:r>
    </w:p>
    <w:p w:rsidR="0086495E" w:rsidRPr="003438FF" w:rsidRDefault="00F961A1" w:rsidP="003438FF">
      <w:pPr>
        <w:pStyle w:val="ListParagraph"/>
        <w:numPr>
          <w:ilvl w:val="0"/>
          <w:numId w:val="2"/>
        </w:numPr>
      </w:pPr>
      <w:r w:rsidRPr="003438FF">
        <w:t>Action has been completed</w:t>
      </w:r>
      <w:r w:rsidR="003438FF">
        <w:t>.</w:t>
      </w:r>
      <w:r w:rsidR="0086495E" w:rsidRPr="003438FF">
        <w:br w:type="page"/>
      </w:r>
    </w:p>
    <w:tbl>
      <w:tblPr>
        <w:tblW w:w="9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3"/>
        <w:gridCol w:w="1622"/>
        <w:gridCol w:w="4179"/>
        <w:gridCol w:w="1993"/>
      </w:tblGrid>
      <w:tr w:rsidR="007F06A8" w:rsidRPr="00877A9E" w:rsidTr="007F06A8">
        <w:trPr>
          <w:jc w:val="center"/>
        </w:trPr>
        <w:tc>
          <w:tcPr>
            <w:tcW w:w="2073" w:type="dxa"/>
            <w:tcBorders>
              <w:top w:val="single" w:sz="4" w:space="0" w:color="000000"/>
              <w:left w:val="single" w:sz="4" w:space="0" w:color="000000"/>
              <w:bottom w:val="single" w:sz="4" w:space="0" w:color="000000"/>
              <w:right w:val="single" w:sz="4" w:space="0" w:color="000000"/>
            </w:tcBorders>
          </w:tcPr>
          <w:p w:rsidR="007F06A8" w:rsidRPr="0057795D" w:rsidRDefault="007F06A8" w:rsidP="008872D2">
            <w:pPr>
              <w:rPr>
                <w:b/>
                <w:strike/>
                <w:szCs w:val="22"/>
              </w:rPr>
            </w:pPr>
            <w:r w:rsidRPr="0057795D">
              <w:rPr>
                <w:i/>
                <w:strike/>
                <w:szCs w:val="22"/>
              </w:rPr>
              <w:lastRenderedPageBreak/>
              <w:t xml:space="preserve"> </w:t>
            </w:r>
            <w:r w:rsidRPr="0057795D">
              <w:rPr>
                <w:b/>
                <w:strike/>
                <w:szCs w:val="22"/>
              </w:rPr>
              <w:t>Action</w:t>
            </w:r>
          </w:p>
        </w:tc>
        <w:tc>
          <w:tcPr>
            <w:tcW w:w="1622" w:type="dxa"/>
            <w:tcBorders>
              <w:top w:val="single" w:sz="4" w:space="0" w:color="000000"/>
              <w:left w:val="single" w:sz="4" w:space="0" w:color="000000"/>
              <w:bottom w:val="single" w:sz="4" w:space="0" w:color="000000"/>
              <w:right w:val="single" w:sz="4" w:space="0" w:color="000000"/>
            </w:tcBorders>
          </w:tcPr>
          <w:p w:rsidR="007F06A8" w:rsidRPr="0057795D" w:rsidRDefault="007F06A8" w:rsidP="008872D2">
            <w:pPr>
              <w:rPr>
                <w:b/>
                <w:strike/>
                <w:szCs w:val="22"/>
              </w:rPr>
            </w:pPr>
            <w:r w:rsidRPr="0057795D">
              <w:rPr>
                <w:b/>
                <w:strike/>
                <w:szCs w:val="22"/>
              </w:rPr>
              <w:t>Lead Implementers</w:t>
            </w:r>
          </w:p>
        </w:tc>
        <w:tc>
          <w:tcPr>
            <w:tcW w:w="4179" w:type="dxa"/>
            <w:tcBorders>
              <w:top w:val="single" w:sz="4" w:space="0" w:color="000000"/>
              <w:left w:val="single" w:sz="4" w:space="0" w:color="000000"/>
              <w:bottom w:val="single" w:sz="4" w:space="0" w:color="000000"/>
              <w:right w:val="single" w:sz="4" w:space="0" w:color="000000"/>
            </w:tcBorders>
          </w:tcPr>
          <w:p w:rsidR="007F06A8" w:rsidRPr="0057795D" w:rsidRDefault="007F06A8" w:rsidP="008872D2">
            <w:pPr>
              <w:rPr>
                <w:b/>
                <w:strike/>
                <w:szCs w:val="22"/>
              </w:rPr>
            </w:pPr>
            <w:r w:rsidRPr="0057795D">
              <w:rPr>
                <w:b/>
                <w:strike/>
                <w:szCs w:val="22"/>
              </w:rPr>
              <w:t>Specifics</w:t>
            </w:r>
          </w:p>
        </w:tc>
        <w:tc>
          <w:tcPr>
            <w:tcW w:w="1993" w:type="dxa"/>
            <w:tcBorders>
              <w:top w:val="single" w:sz="4" w:space="0" w:color="000000"/>
              <w:left w:val="single" w:sz="4" w:space="0" w:color="000000"/>
              <w:bottom w:val="single" w:sz="4" w:space="0" w:color="000000"/>
              <w:right w:val="single" w:sz="4" w:space="0" w:color="000000"/>
            </w:tcBorders>
          </w:tcPr>
          <w:p w:rsidR="007F06A8" w:rsidRPr="0057795D" w:rsidRDefault="007F06A8" w:rsidP="008872D2">
            <w:pPr>
              <w:rPr>
                <w:b/>
                <w:strike/>
                <w:szCs w:val="22"/>
              </w:rPr>
            </w:pPr>
            <w:r w:rsidRPr="0057795D">
              <w:rPr>
                <w:b/>
                <w:strike/>
                <w:szCs w:val="22"/>
              </w:rPr>
              <w:t>Retain/Revise/</w:t>
            </w:r>
          </w:p>
          <w:p w:rsidR="007F06A8" w:rsidRPr="0057795D" w:rsidRDefault="003438FF" w:rsidP="008872D2">
            <w:pPr>
              <w:rPr>
                <w:b/>
                <w:strike/>
                <w:szCs w:val="22"/>
              </w:rPr>
            </w:pPr>
            <w:r w:rsidRPr="0057795D">
              <w:rPr>
                <w:b/>
                <w:strike/>
                <w:szCs w:val="22"/>
              </w:rPr>
              <w:t>Complete/</w:t>
            </w:r>
            <w:r w:rsidR="007F06A8" w:rsidRPr="0057795D">
              <w:rPr>
                <w:b/>
                <w:strike/>
                <w:szCs w:val="22"/>
              </w:rPr>
              <w:t>Delete</w:t>
            </w:r>
          </w:p>
        </w:tc>
      </w:tr>
      <w:tr w:rsidR="007F06A8" w:rsidRPr="00877A9E" w:rsidTr="007F06A8">
        <w:trPr>
          <w:jc w:val="center"/>
        </w:trPr>
        <w:tc>
          <w:tcPr>
            <w:tcW w:w="2073" w:type="dxa"/>
            <w:tcBorders>
              <w:top w:val="single" w:sz="4" w:space="0" w:color="000000"/>
              <w:left w:val="single" w:sz="4" w:space="0" w:color="000000"/>
              <w:bottom w:val="single" w:sz="4" w:space="0" w:color="000000"/>
              <w:right w:val="single" w:sz="4" w:space="0" w:color="000000"/>
            </w:tcBorders>
          </w:tcPr>
          <w:p w:rsidR="007F06A8" w:rsidRPr="0057795D" w:rsidRDefault="007F06A8" w:rsidP="008872D2">
            <w:pPr>
              <w:rPr>
                <w:strike/>
                <w:szCs w:val="22"/>
              </w:rPr>
            </w:pPr>
            <w:r w:rsidRPr="0057795D">
              <w:rPr>
                <w:strike/>
                <w:szCs w:val="22"/>
              </w:rPr>
              <w:t>Evaluate state and local revenue sharing criteria with particular emphasis on the sales tax</w:t>
            </w:r>
          </w:p>
        </w:tc>
        <w:tc>
          <w:tcPr>
            <w:tcW w:w="1622" w:type="dxa"/>
            <w:tcBorders>
              <w:top w:val="single" w:sz="4" w:space="0" w:color="000000"/>
              <w:left w:val="single" w:sz="4" w:space="0" w:color="000000"/>
              <w:bottom w:val="single" w:sz="4" w:space="0" w:color="000000"/>
              <w:right w:val="single" w:sz="4" w:space="0" w:color="000000"/>
            </w:tcBorders>
          </w:tcPr>
          <w:p w:rsidR="007F06A8" w:rsidRPr="0057795D" w:rsidRDefault="007F06A8" w:rsidP="008872D2">
            <w:pPr>
              <w:rPr>
                <w:strike/>
                <w:szCs w:val="22"/>
              </w:rPr>
            </w:pPr>
            <w:r w:rsidRPr="0057795D">
              <w:rPr>
                <w:strike/>
                <w:szCs w:val="22"/>
              </w:rPr>
              <w:t>Task Force, CMAP Board, State, counties, municipalities</w:t>
            </w:r>
          </w:p>
        </w:tc>
        <w:tc>
          <w:tcPr>
            <w:tcW w:w="4179" w:type="dxa"/>
            <w:tcBorders>
              <w:top w:val="single" w:sz="4" w:space="0" w:color="000000"/>
              <w:left w:val="single" w:sz="4" w:space="0" w:color="000000"/>
              <w:bottom w:val="single" w:sz="4" w:space="0" w:color="000000"/>
              <w:right w:val="single" w:sz="4" w:space="0" w:color="000000"/>
            </w:tcBorders>
          </w:tcPr>
          <w:p w:rsidR="007F06A8" w:rsidRPr="0057795D" w:rsidRDefault="007F06A8" w:rsidP="008872D2">
            <w:pPr>
              <w:rPr>
                <w:strike/>
                <w:szCs w:val="22"/>
              </w:rPr>
            </w:pPr>
            <w:r w:rsidRPr="0057795D">
              <w:rPr>
                <w:strike/>
                <w:szCs w:val="22"/>
              </w:rPr>
              <w:t>More than $4 billion in state tax revenue, much of which is made up of sales tax, is disbursed annually to local governments in northeastern Illinois.  Evaluate state/local revenue sharing criteria including the sales tax, income tax, personal property replacement tax, and MFT.  The task force should analyze the fiscal, economic, and equity impacts of altering disbursement criteria and make appropriate recommendations to the state and/or propose regional or subregional actions.  The sales tax disbursement, which is based on local retail sales, should receive particular emphasis.  Prepare detailed recommendation.</w:t>
            </w:r>
            <w:r w:rsidRPr="0057795D">
              <w:rPr>
                <w:strike/>
                <w:szCs w:val="22"/>
              </w:rPr>
              <w:br/>
            </w:r>
          </w:p>
        </w:tc>
        <w:tc>
          <w:tcPr>
            <w:tcW w:w="1993" w:type="dxa"/>
            <w:tcBorders>
              <w:top w:val="single" w:sz="4" w:space="0" w:color="000000"/>
              <w:left w:val="single" w:sz="4" w:space="0" w:color="000000"/>
              <w:bottom w:val="single" w:sz="4" w:space="0" w:color="000000"/>
              <w:right w:val="single" w:sz="4" w:space="0" w:color="000000"/>
            </w:tcBorders>
          </w:tcPr>
          <w:p w:rsidR="007F06A8" w:rsidRPr="0057795D" w:rsidRDefault="003438FF" w:rsidP="008872D2">
            <w:pPr>
              <w:rPr>
                <w:strike/>
                <w:szCs w:val="22"/>
              </w:rPr>
            </w:pPr>
            <w:r w:rsidRPr="0057795D">
              <w:rPr>
                <w:strike/>
                <w:szCs w:val="22"/>
              </w:rPr>
              <w:t>Complete</w:t>
            </w:r>
          </w:p>
        </w:tc>
      </w:tr>
    </w:tbl>
    <w:p w:rsidR="0086495E" w:rsidRPr="00877A9E" w:rsidRDefault="0086495E" w:rsidP="0086495E">
      <w:pPr>
        <w:rPr>
          <w:szCs w:val="22"/>
        </w:rPr>
      </w:pPr>
    </w:p>
    <w:p w:rsidR="0086495E" w:rsidRPr="00877A9E" w:rsidRDefault="0086495E" w:rsidP="0086495E">
      <w:pPr>
        <w:rPr>
          <w:b/>
          <w:szCs w:val="22"/>
        </w:rPr>
      </w:pPr>
      <w:r w:rsidRPr="00877A9E">
        <w:rPr>
          <w:b/>
          <w:szCs w:val="22"/>
        </w:rPr>
        <w:t>Implementation Examples:</w:t>
      </w:r>
    </w:p>
    <w:p w:rsidR="007F06A8" w:rsidRPr="007F06A8" w:rsidRDefault="0086495E" w:rsidP="007F06A8">
      <w:pPr>
        <w:pStyle w:val="ListParagraph"/>
        <w:numPr>
          <w:ilvl w:val="0"/>
          <w:numId w:val="2"/>
        </w:numPr>
        <w:rPr>
          <w:b/>
        </w:rPr>
      </w:pPr>
      <w:r w:rsidRPr="00665CE0">
        <w:t xml:space="preserve">CMAP’s Regional Tax Policy Task Force </w:t>
      </w:r>
      <w:r w:rsidR="003911E1" w:rsidRPr="00665CE0">
        <w:t xml:space="preserve">evaluated state revenue sharing criteria, and made several recommendations.  Regarding state sales tax revenue sharing, they recommended that the CMAP Board continue to analyze the effects of sales tax revenue sharing criteria and consider new approaches to the allocation of new or increased revenue streams that encourage regional cooperation and broader development goals, but avoid redistributing existing revenues.  In terms of state income tax revenue sharing, the Task Force recommended that CMAP support the continuation of sharing the revenue with municipalities and counties on the basis of population.  For personal property replacement tax revenue sharing, the Task Force recommended that CMAP support reform of the system in a manner that reflects the region’s changing demographics and needs.  The Task Force also recommended that CMAP review the efficiency of state motor fuel tax revenue sharing.  </w:t>
      </w:r>
    </w:p>
    <w:p w:rsidR="007F06A8" w:rsidRDefault="007F06A8" w:rsidP="007F06A8">
      <w:pPr>
        <w:spacing w:line="276" w:lineRule="auto"/>
      </w:pPr>
    </w:p>
    <w:p w:rsidR="004E2850" w:rsidRDefault="007F06A8" w:rsidP="007F06A8">
      <w:pPr>
        <w:spacing w:line="276" w:lineRule="auto"/>
        <w:rPr>
          <w:b/>
        </w:rPr>
      </w:pPr>
      <w:r w:rsidRPr="007F06A8">
        <w:rPr>
          <w:b/>
        </w:rPr>
        <w:t>Rationale for Retain/Revise/</w:t>
      </w:r>
      <w:r w:rsidR="00DF4888">
        <w:rPr>
          <w:b/>
        </w:rPr>
        <w:t>Complete/</w:t>
      </w:r>
      <w:r w:rsidRPr="007F06A8">
        <w:rPr>
          <w:b/>
        </w:rPr>
        <w:t>Delete Assessment:</w:t>
      </w:r>
    </w:p>
    <w:p w:rsidR="0086495E" w:rsidRPr="003438FF" w:rsidRDefault="004E2850" w:rsidP="003438FF">
      <w:pPr>
        <w:pStyle w:val="ListParagraph"/>
        <w:numPr>
          <w:ilvl w:val="0"/>
          <w:numId w:val="2"/>
        </w:numPr>
        <w:spacing w:line="276" w:lineRule="auto"/>
      </w:pPr>
      <w:r w:rsidRPr="003438FF">
        <w:t>Action has been completed</w:t>
      </w:r>
      <w:r w:rsidR="003438FF">
        <w:t>.</w:t>
      </w:r>
      <w:r w:rsidRPr="003438FF">
        <w:rPr>
          <w:b/>
        </w:rPr>
        <w:t xml:space="preserve"> </w:t>
      </w:r>
      <w:r w:rsidR="0086495E" w:rsidRPr="003438FF">
        <w:rPr>
          <w:b/>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0"/>
        <w:gridCol w:w="1622"/>
        <w:gridCol w:w="3320"/>
        <w:gridCol w:w="2434"/>
      </w:tblGrid>
      <w:tr w:rsidR="007F06A8" w:rsidRPr="00877A9E" w:rsidTr="007F06A8">
        <w:trPr>
          <w:cantSplit/>
          <w:jc w:val="center"/>
        </w:trPr>
        <w:tc>
          <w:tcPr>
            <w:tcW w:w="2200" w:type="dxa"/>
            <w:tcBorders>
              <w:top w:val="single" w:sz="4" w:space="0" w:color="000000"/>
              <w:left w:val="single" w:sz="4" w:space="0" w:color="000000"/>
              <w:bottom w:val="single" w:sz="4" w:space="0" w:color="000000"/>
              <w:right w:val="single" w:sz="4" w:space="0" w:color="000000"/>
            </w:tcBorders>
          </w:tcPr>
          <w:p w:rsidR="007F06A8" w:rsidRPr="0057795D" w:rsidRDefault="007F06A8" w:rsidP="008872D2">
            <w:pPr>
              <w:rPr>
                <w:b/>
                <w:strike/>
                <w:szCs w:val="22"/>
              </w:rPr>
            </w:pPr>
            <w:r w:rsidRPr="0057795D">
              <w:rPr>
                <w:i/>
                <w:strike/>
                <w:szCs w:val="22"/>
              </w:rPr>
              <w:lastRenderedPageBreak/>
              <w:t xml:space="preserve"> </w:t>
            </w:r>
            <w:r w:rsidRPr="0057795D">
              <w:rPr>
                <w:b/>
                <w:strike/>
                <w:szCs w:val="22"/>
              </w:rPr>
              <w:t>Action</w:t>
            </w:r>
          </w:p>
        </w:tc>
        <w:tc>
          <w:tcPr>
            <w:tcW w:w="1622" w:type="dxa"/>
            <w:tcBorders>
              <w:top w:val="single" w:sz="4" w:space="0" w:color="000000"/>
              <w:left w:val="single" w:sz="4" w:space="0" w:color="000000"/>
              <w:bottom w:val="single" w:sz="4" w:space="0" w:color="000000"/>
              <w:right w:val="single" w:sz="4" w:space="0" w:color="000000"/>
            </w:tcBorders>
          </w:tcPr>
          <w:p w:rsidR="007F06A8" w:rsidRPr="0057795D" w:rsidRDefault="007F06A8" w:rsidP="008872D2">
            <w:pPr>
              <w:rPr>
                <w:b/>
                <w:strike/>
                <w:szCs w:val="22"/>
              </w:rPr>
            </w:pPr>
            <w:r w:rsidRPr="0057795D">
              <w:rPr>
                <w:b/>
                <w:strike/>
                <w:szCs w:val="22"/>
              </w:rPr>
              <w:t>Lead Implementers</w:t>
            </w:r>
          </w:p>
        </w:tc>
        <w:tc>
          <w:tcPr>
            <w:tcW w:w="3320" w:type="dxa"/>
            <w:tcBorders>
              <w:top w:val="single" w:sz="4" w:space="0" w:color="000000"/>
              <w:left w:val="single" w:sz="4" w:space="0" w:color="000000"/>
              <w:bottom w:val="single" w:sz="4" w:space="0" w:color="000000"/>
              <w:right w:val="single" w:sz="4" w:space="0" w:color="000000"/>
            </w:tcBorders>
          </w:tcPr>
          <w:p w:rsidR="007F06A8" w:rsidRPr="0057795D" w:rsidRDefault="007F06A8" w:rsidP="008872D2">
            <w:pPr>
              <w:rPr>
                <w:b/>
                <w:strike/>
                <w:szCs w:val="22"/>
              </w:rPr>
            </w:pPr>
            <w:r w:rsidRPr="0057795D">
              <w:rPr>
                <w:b/>
                <w:strike/>
                <w:szCs w:val="22"/>
              </w:rPr>
              <w:t>Specifics</w:t>
            </w:r>
          </w:p>
        </w:tc>
        <w:tc>
          <w:tcPr>
            <w:tcW w:w="2434" w:type="dxa"/>
            <w:tcBorders>
              <w:top w:val="single" w:sz="4" w:space="0" w:color="000000"/>
              <w:left w:val="single" w:sz="4" w:space="0" w:color="000000"/>
              <w:bottom w:val="single" w:sz="4" w:space="0" w:color="000000"/>
              <w:right w:val="single" w:sz="4" w:space="0" w:color="000000"/>
            </w:tcBorders>
          </w:tcPr>
          <w:p w:rsidR="003438FF" w:rsidRPr="0057795D" w:rsidRDefault="007F06A8" w:rsidP="008872D2">
            <w:pPr>
              <w:rPr>
                <w:b/>
                <w:strike/>
                <w:szCs w:val="22"/>
              </w:rPr>
            </w:pPr>
            <w:r w:rsidRPr="0057795D">
              <w:rPr>
                <w:b/>
                <w:strike/>
                <w:szCs w:val="22"/>
              </w:rPr>
              <w:t>Retain/Revise/</w:t>
            </w:r>
          </w:p>
          <w:p w:rsidR="007F06A8" w:rsidRPr="0057795D" w:rsidRDefault="003438FF" w:rsidP="008872D2">
            <w:pPr>
              <w:rPr>
                <w:b/>
                <w:strike/>
                <w:szCs w:val="22"/>
              </w:rPr>
            </w:pPr>
            <w:r w:rsidRPr="0057795D">
              <w:rPr>
                <w:b/>
                <w:strike/>
                <w:szCs w:val="22"/>
              </w:rPr>
              <w:t>Complete/</w:t>
            </w:r>
            <w:r w:rsidR="007F06A8" w:rsidRPr="0057795D">
              <w:rPr>
                <w:b/>
                <w:strike/>
                <w:szCs w:val="22"/>
              </w:rPr>
              <w:t>Delete</w:t>
            </w:r>
          </w:p>
        </w:tc>
      </w:tr>
      <w:tr w:rsidR="007F06A8" w:rsidRPr="00877A9E" w:rsidTr="007F06A8">
        <w:trPr>
          <w:cantSplit/>
          <w:jc w:val="center"/>
        </w:trPr>
        <w:tc>
          <w:tcPr>
            <w:tcW w:w="2200" w:type="dxa"/>
            <w:tcBorders>
              <w:top w:val="single" w:sz="4" w:space="0" w:color="000000"/>
              <w:left w:val="single" w:sz="4" w:space="0" w:color="000000"/>
              <w:bottom w:val="single" w:sz="4" w:space="0" w:color="000000"/>
              <w:right w:val="single" w:sz="4" w:space="0" w:color="000000"/>
            </w:tcBorders>
          </w:tcPr>
          <w:p w:rsidR="007F06A8" w:rsidRPr="0057795D" w:rsidRDefault="007F06A8" w:rsidP="008872D2">
            <w:pPr>
              <w:rPr>
                <w:strike/>
                <w:szCs w:val="22"/>
              </w:rPr>
            </w:pPr>
            <w:r w:rsidRPr="0057795D">
              <w:rPr>
                <w:strike/>
                <w:szCs w:val="22"/>
              </w:rPr>
              <w:t xml:space="preserve">Evaluate property tax classification and the property tax extension limitation law </w:t>
            </w:r>
          </w:p>
        </w:tc>
        <w:tc>
          <w:tcPr>
            <w:tcW w:w="1622" w:type="dxa"/>
            <w:tcBorders>
              <w:top w:val="single" w:sz="4" w:space="0" w:color="000000"/>
              <w:left w:val="single" w:sz="4" w:space="0" w:color="000000"/>
              <w:bottom w:val="single" w:sz="4" w:space="0" w:color="000000"/>
              <w:right w:val="single" w:sz="4" w:space="0" w:color="000000"/>
            </w:tcBorders>
          </w:tcPr>
          <w:p w:rsidR="007F06A8" w:rsidRPr="0057795D" w:rsidRDefault="007F06A8" w:rsidP="008872D2">
            <w:pPr>
              <w:rPr>
                <w:strike/>
                <w:szCs w:val="22"/>
              </w:rPr>
            </w:pPr>
            <w:r w:rsidRPr="0057795D">
              <w:rPr>
                <w:strike/>
                <w:szCs w:val="22"/>
              </w:rPr>
              <w:t>Task Force, CMAP Board, State, Cook County</w:t>
            </w:r>
          </w:p>
        </w:tc>
        <w:tc>
          <w:tcPr>
            <w:tcW w:w="3320" w:type="dxa"/>
            <w:tcBorders>
              <w:top w:val="single" w:sz="4" w:space="0" w:color="000000"/>
              <w:left w:val="single" w:sz="4" w:space="0" w:color="000000"/>
              <w:bottom w:val="single" w:sz="4" w:space="0" w:color="000000"/>
              <w:right w:val="single" w:sz="4" w:space="0" w:color="000000"/>
            </w:tcBorders>
          </w:tcPr>
          <w:p w:rsidR="007F06A8" w:rsidRPr="0057795D" w:rsidRDefault="007F06A8" w:rsidP="008872D2">
            <w:pPr>
              <w:rPr>
                <w:strike/>
                <w:szCs w:val="22"/>
              </w:rPr>
            </w:pPr>
            <w:r w:rsidRPr="0057795D">
              <w:rPr>
                <w:strike/>
                <w:szCs w:val="22"/>
              </w:rPr>
              <w:t>Evaluate the property tax classification system in Cook County and propose reform, where appropriate.  Special attention should be paid to impacts on businesses and households as well as residential and commercial location decisions.  Evaluate the impacts of PTELL on local government revenues and services and propose reform, where appropriate.  Prepare detailed recommendation.</w:t>
            </w:r>
            <w:r w:rsidRPr="0057795D">
              <w:rPr>
                <w:strike/>
                <w:szCs w:val="22"/>
              </w:rPr>
              <w:br/>
            </w:r>
          </w:p>
        </w:tc>
        <w:tc>
          <w:tcPr>
            <w:tcW w:w="2434" w:type="dxa"/>
            <w:tcBorders>
              <w:top w:val="single" w:sz="4" w:space="0" w:color="000000"/>
              <w:left w:val="single" w:sz="4" w:space="0" w:color="000000"/>
              <w:bottom w:val="single" w:sz="4" w:space="0" w:color="000000"/>
              <w:right w:val="single" w:sz="4" w:space="0" w:color="000000"/>
            </w:tcBorders>
          </w:tcPr>
          <w:p w:rsidR="007F06A8" w:rsidRPr="0057795D" w:rsidRDefault="003438FF" w:rsidP="008872D2">
            <w:pPr>
              <w:rPr>
                <w:strike/>
                <w:szCs w:val="22"/>
              </w:rPr>
            </w:pPr>
            <w:r w:rsidRPr="0057795D">
              <w:rPr>
                <w:strike/>
                <w:szCs w:val="22"/>
              </w:rPr>
              <w:t>Complete</w:t>
            </w:r>
          </w:p>
        </w:tc>
      </w:tr>
    </w:tbl>
    <w:p w:rsidR="0086495E" w:rsidRPr="00877A9E" w:rsidRDefault="0086495E" w:rsidP="0086495E">
      <w:pPr>
        <w:rPr>
          <w:szCs w:val="22"/>
        </w:rPr>
      </w:pPr>
    </w:p>
    <w:p w:rsidR="0086495E" w:rsidRPr="00877A9E" w:rsidRDefault="0086495E" w:rsidP="0086495E">
      <w:pPr>
        <w:rPr>
          <w:b/>
          <w:szCs w:val="22"/>
        </w:rPr>
      </w:pPr>
      <w:r w:rsidRPr="00877A9E">
        <w:rPr>
          <w:b/>
          <w:szCs w:val="22"/>
        </w:rPr>
        <w:t>Implementation Examples:</w:t>
      </w:r>
    </w:p>
    <w:p w:rsidR="0086495E" w:rsidRPr="00665CE0" w:rsidRDefault="0086495E" w:rsidP="00665CE0">
      <w:pPr>
        <w:pStyle w:val="ListParagraph"/>
        <w:numPr>
          <w:ilvl w:val="0"/>
          <w:numId w:val="2"/>
        </w:numPr>
        <w:rPr>
          <w:b/>
        </w:rPr>
      </w:pPr>
      <w:r w:rsidRPr="00665CE0">
        <w:t xml:space="preserve">CMAP’s Regional Tax Policy Task Force </w:t>
      </w:r>
      <w:r w:rsidR="003911E1" w:rsidRPr="00665CE0">
        <w:t xml:space="preserve">evaluated both property tax classification and the property tax extension limitation law.  The Task Force recommended that CMAP support policies that phase out property tax classification in Cook County, but over a period of years in order to allow residential taxpayers to adjust to the increased burden.  </w:t>
      </w:r>
    </w:p>
    <w:p w:rsidR="007F06A8" w:rsidRDefault="007F06A8" w:rsidP="0086495E">
      <w:pPr>
        <w:rPr>
          <w:szCs w:val="22"/>
        </w:rPr>
      </w:pPr>
    </w:p>
    <w:p w:rsidR="004E2850" w:rsidRDefault="007F06A8" w:rsidP="0086495E">
      <w:pPr>
        <w:rPr>
          <w:b/>
          <w:szCs w:val="22"/>
        </w:rPr>
      </w:pPr>
      <w:r>
        <w:rPr>
          <w:b/>
          <w:szCs w:val="22"/>
        </w:rPr>
        <w:t>Rationale for Retain/Revise/</w:t>
      </w:r>
      <w:r w:rsidR="00DF4888">
        <w:rPr>
          <w:b/>
          <w:szCs w:val="22"/>
        </w:rPr>
        <w:t>Complete/</w:t>
      </w:r>
      <w:r>
        <w:rPr>
          <w:b/>
          <w:szCs w:val="22"/>
        </w:rPr>
        <w:t>Delete Assessment:</w:t>
      </w:r>
    </w:p>
    <w:p w:rsidR="0086495E" w:rsidRPr="003438FF" w:rsidRDefault="004E2850" w:rsidP="003438FF">
      <w:pPr>
        <w:pStyle w:val="ListParagraph"/>
        <w:numPr>
          <w:ilvl w:val="0"/>
          <w:numId w:val="2"/>
        </w:numPr>
      </w:pPr>
      <w:r w:rsidRPr="003438FF">
        <w:t>Action has been completed</w:t>
      </w:r>
      <w:r w:rsidR="003438FF">
        <w:t>.</w:t>
      </w:r>
      <w:r w:rsidRPr="003438FF">
        <w:t xml:space="preserve"> </w:t>
      </w:r>
      <w:r w:rsidR="0086495E" w:rsidRPr="003438FF">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0"/>
        <w:gridCol w:w="1622"/>
        <w:gridCol w:w="3355"/>
        <w:gridCol w:w="2489"/>
      </w:tblGrid>
      <w:tr w:rsidR="007F06A8" w:rsidRPr="00877A9E" w:rsidTr="007F06A8">
        <w:trPr>
          <w:jc w:val="center"/>
        </w:trPr>
        <w:tc>
          <w:tcPr>
            <w:tcW w:w="2110" w:type="dxa"/>
            <w:tcBorders>
              <w:top w:val="single" w:sz="4" w:space="0" w:color="000000"/>
              <w:left w:val="single" w:sz="4" w:space="0" w:color="000000"/>
              <w:bottom w:val="single" w:sz="4" w:space="0" w:color="000000"/>
              <w:right w:val="single" w:sz="4" w:space="0" w:color="000000"/>
            </w:tcBorders>
          </w:tcPr>
          <w:p w:rsidR="007F06A8" w:rsidRPr="0057795D" w:rsidRDefault="007F06A8" w:rsidP="008872D2">
            <w:pPr>
              <w:rPr>
                <w:b/>
                <w:strike/>
                <w:szCs w:val="22"/>
              </w:rPr>
            </w:pPr>
            <w:r w:rsidRPr="0057795D">
              <w:rPr>
                <w:i/>
                <w:strike/>
                <w:szCs w:val="22"/>
              </w:rPr>
              <w:lastRenderedPageBreak/>
              <w:t xml:space="preserve"> </w:t>
            </w:r>
            <w:r w:rsidRPr="0057795D">
              <w:rPr>
                <w:b/>
                <w:strike/>
                <w:szCs w:val="22"/>
              </w:rPr>
              <w:t>Action</w:t>
            </w:r>
          </w:p>
        </w:tc>
        <w:tc>
          <w:tcPr>
            <w:tcW w:w="1622" w:type="dxa"/>
            <w:tcBorders>
              <w:top w:val="single" w:sz="4" w:space="0" w:color="000000"/>
              <w:left w:val="single" w:sz="4" w:space="0" w:color="000000"/>
              <w:bottom w:val="single" w:sz="4" w:space="0" w:color="000000"/>
              <w:right w:val="single" w:sz="4" w:space="0" w:color="000000"/>
            </w:tcBorders>
          </w:tcPr>
          <w:p w:rsidR="007F06A8" w:rsidRPr="0057795D" w:rsidRDefault="007F06A8" w:rsidP="008872D2">
            <w:pPr>
              <w:rPr>
                <w:b/>
                <w:strike/>
                <w:szCs w:val="22"/>
              </w:rPr>
            </w:pPr>
            <w:r w:rsidRPr="0057795D">
              <w:rPr>
                <w:b/>
                <w:strike/>
                <w:szCs w:val="22"/>
              </w:rPr>
              <w:t>Lead Implementers</w:t>
            </w:r>
          </w:p>
        </w:tc>
        <w:tc>
          <w:tcPr>
            <w:tcW w:w="3355" w:type="dxa"/>
            <w:tcBorders>
              <w:top w:val="single" w:sz="4" w:space="0" w:color="000000"/>
              <w:left w:val="single" w:sz="4" w:space="0" w:color="000000"/>
              <w:bottom w:val="single" w:sz="4" w:space="0" w:color="000000"/>
              <w:right w:val="single" w:sz="4" w:space="0" w:color="000000"/>
            </w:tcBorders>
          </w:tcPr>
          <w:p w:rsidR="007F06A8" w:rsidRPr="0057795D" w:rsidRDefault="007F06A8" w:rsidP="008872D2">
            <w:pPr>
              <w:rPr>
                <w:b/>
                <w:strike/>
                <w:szCs w:val="22"/>
              </w:rPr>
            </w:pPr>
            <w:r w:rsidRPr="0057795D">
              <w:rPr>
                <w:b/>
                <w:strike/>
                <w:szCs w:val="22"/>
              </w:rPr>
              <w:t>Specifics</w:t>
            </w:r>
          </w:p>
        </w:tc>
        <w:tc>
          <w:tcPr>
            <w:tcW w:w="2489" w:type="dxa"/>
            <w:tcBorders>
              <w:top w:val="single" w:sz="4" w:space="0" w:color="000000"/>
              <w:left w:val="single" w:sz="4" w:space="0" w:color="000000"/>
              <w:bottom w:val="single" w:sz="4" w:space="0" w:color="000000"/>
              <w:right w:val="single" w:sz="4" w:space="0" w:color="000000"/>
            </w:tcBorders>
          </w:tcPr>
          <w:p w:rsidR="003438FF" w:rsidRPr="0057795D" w:rsidRDefault="007F06A8" w:rsidP="008872D2">
            <w:pPr>
              <w:rPr>
                <w:b/>
                <w:strike/>
                <w:szCs w:val="22"/>
              </w:rPr>
            </w:pPr>
            <w:r w:rsidRPr="0057795D">
              <w:rPr>
                <w:b/>
                <w:strike/>
                <w:szCs w:val="22"/>
              </w:rPr>
              <w:t>Retain/Revise/</w:t>
            </w:r>
          </w:p>
          <w:p w:rsidR="007F06A8" w:rsidRPr="0057795D" w:rsidRDefault="003438FF" w:rsidP="008872D2">
            <w:pPr>
              <w:rPr>
                <w:b/>
                <w:strike/>
                <w:szCs w:val="22"/>
              </w:rPr>
            </w:pPr>
            <w:r w:rsidRPr="0057795D">
              <w:rPr>
                <w:b/>
                <w:strike/>
                <w:szCs w:val="22"/>
              </w:rPr>
              <w:t>Complete/</w:t>
            </w:r>
            <w:r w:rsidR="007F06A8" w:rsidRPr="0057795D">
              <w:rPr>
                <w:b/>
                <w:strike/>
                <w:szCs w:val="22"/>
              </w:rPr>
              <w:t>Delete</w:t>
            </w:r>
          </w:p>
        </w:tc>
      </w:tr>
      <w:tr w:rsidR="007F06A8" w:rsidRPr="00877A9E" w:rsidTr="007F06A8">
        <w:trPr>
          <w:jc w:val="center"/>
        </w:trPr>
        <w:tc>
          <w:tcPr>
            <w:tcW w:w="2110" w:type="dxa"/>
            <w:tcBorders>
              <w:top w:val="single" w:sz="4" w:space="0" w:color="000000"/>
              <w:left w:val="single" w:sz="4" w:space="0" w:color="000000"/>
              <w:bottom w:val="single" w:sz="4" w:space="0" w:color="000000"/>
              <w:right w:val="single" w:sz="4" w:space="0" w:color="000000"/>
            </w:tcBorders>
          </w:tcPr>
          <w:p w:rsidR="007F06A8" w:rsidRPr="0057795D" w:rsidRDefault="007F06A8" w:rsidP="008872D2">
            <w:pPr>
              <w:rPr>
                <w:strike/>
                <w:szCs w:val="22"/>
              </w:rPr>
            </w:pPr>
            <w:r w:rsidRPr="0057795D">
              <w:rPr>
                <w:strike/>
                <w:szCs w:val="22"/>
              </w:rPr>
              <w:t>Evaluate expanding the sales tax to the service sector</w:t>
            </w:r>
          </w:p>
        </w:tc>
        <w:tc>
          <w:tcPr>
            <w:tcW w:w="1622" w:type="dxa"/>
            <w:tcBorders>
              <w:top w:val="single" w:sz="4" w:space="0" w:color="000000"/>
              <w:left w:val="single" w:sz="4" w:space="0" w:color="000000"/>
              <w:bottom w:val="single" w:sz="4" w:space="0" w:color="000000"/>
              <w:right w:val="single" w:sz="4" w:space="0" w:color="000000"/>
            </w:tcBorders>
          </w:tcPr>
          <w:p w:rsidR="007F06A8" w:rsidRPr="0057795D" w:rsidRDefault="007F06A8" w:rsidP="008872D2">
            <w:pPr>
              <w:rPr>
                <w:strike/>
                <w:szCs w:val="22"/>
              </w:rPr>
            </w:pPr>
            <w:r w:rsidRPr="0057795D">
              <w:rPr>
                <w:strike/>
                <w:szCs w:val="22"/>
              </w:rPr>
              <w:t>Task Force, CMAP Board, State</w:t>
            </w:r>
          </w:p>
        </w:tc>
        <w:tc>
          <w:tcPr>
            <w:tcW w:w="3355" w:type="dxa"/>
            <w:tcBorders>
              <w:top w:val="single" w:sz="4" w:space="0" w:color="000000"/>
              <w:left w:val="single" w:sz="4" w:space="0" w:color="000000"/>
              <w:bottom w:val="single" w:sz="4" w:space="0" w:color="000000"/>
              <w:right w:val="single" w:sz="4" w:space="0" w:color="000000"/>
            </w:tcBorders>
          </w:tcPr>
          <w:p w:rsidR="007F06A8" w:rsidRPr="0057795D" w:rsidRDefault="007F06A8" w:rsidP="008872D2">
            <w:pPr>
              <w:rPr>
                <w:strike/>
                <w:szCs w:val="22"/>
              </w:rPr>
            </w:pPr>
            <w:r w:rsidRPr="0057795D">
              <w:rPr>
                <w:strike/>
                <w:szCs w:val="22"/>
              </w:rPr>
              <w:t>Evaluate the impacts of extending the sales tax to some services.  Highlight the economic and equity impacts of extending the tax to particular services, but not others.  Prepare detailed recommendation.</w:t>
            </w:r>
            <w:r w:rsidRPr="0057795D">
              <w:rPr>
                <w:strike/>
                <w:szCs w:val="22"/>
              </w:rPr>
              <w:br/>
            </w:r>
          </w:p>
        </w:tc>
        <w:tc>
          <w:tcPr>
            <w:tcW w:w="2489" w:type="dxa"/>
            <w:tcBorders>
              <w:top w:val="single" w:sz="4" w:space="0" w:color="000000"/>
              <w:left w:val="single" w:sz="4" w:space="0" w:color="000000"/>
              <w:bottom w:val="single" w:sz="4" w:space="0" w:color="000000"/>
              <w:right w:val="single" w:sz="4" w:space="0" w:color="000000"/>
            </w:tcBorders>
          </w:tcPr>
          <w:p w:rsidR="007F06A8" w:rsidRPr="0057795D" w:rsidRDefault="003438FF" w:rsidP="008872D2">
            <w:pPr>
              <w:rPr>
                <w:strike/>
                <w:szCs w:val="22"/>
              </w:rPr>
            </w:pPr>
            <w:r w:rsidRPr="0057795D">
              <w:rPr>
                <w:strike/>
                <w:szCs w:val="22"/>
              </w:rPr>
              <w:t>Complete</w:t>
            </w:r>
          </w:p>
        </w:tc>
      </w:tr>
    </w:tbl>
    <w:p w:rsidR="0086495E" w:rsidRPr="00877A9E" w:rsidRDefault="0086495E" w:rsidP="0086495E">
      <w:pPr>
        <w:rPr>
          <w:szCs w:val="22"/>
        </w:rPr>
      </w:pPr>
    </w:p>
    <w:p w:rsidR="0086495E" w:rsidRPr="00877A9E" w:rsidRDefault="0086495E" w:rsidP="0086495E">
      <w:pPr>
        <w:rPr>
          <w:b/>
          <w:szCs w:val="22"/>
        </w:rPr>
      </w:pPr>
      <w:r w:rsidRPr="00877A9E">
        <w:rPr>
          <w:b/>
          <w:szCs w:val="22"/>
        </w:rPr>
        <w:t>Implementation Examples:</w:t>
      </w:r>
    </w:p>
    <w:p w:rsidR="007F06A8" w:rsidRPr="007F06A8" w:rsidRDefault="0086495E" w:rsidP="00665CE0">
      <w:pPr>
        <w:pStyle w:val="ListParagraph"/>
        <w:numPr>
          <w:ilvl w:val="0"/>
          <w:numId w:val="2"/>
        </w:numPr>
        <w:rPr>
          <w:b/>
        </w:rPr>
      </w:pPr>
      <w:r w:rsidRPr="00665CE0">
        <w:t xml:space="preserve">CMAP’s Regional Tax Policy Task Force </w:t>
      </w:r>
      <w:r w:rsidR="008872D2" w:rsidRPr="00665CE0">
        <w:t xml:space="preserve">evaluated the impact of extending the sales tax base to additional services and recommended that CMAP support tax policies that broaden the sales tax base to more services as a way to respond to changing consumption patterns, with a focus on lowering tax rates.  </w:t>
      </w:r>
    </w:p>
    <w:p w:rsidR="007F06A8" w:rsidRDefault="007F06A8" w:rsidP="007F06A8">
      <w:pPr>
        <w:rPr>
          <w:b/>
          <w:szCs w:val="22"/>
        </w:rPr>
      </w:pPr>
    </w:p>
    <w:p w:rsidR="004E2850" w:rsidRDefault="007F06A8" w:rsidP="007F06A8">
      <w:pPr>
        <w:rPr>
          <w:b/>
          <w:szCs w:val="22"/>
        </w:rPr>
      </w:pPr>
      <w:r>
        <w:rPr>
          <w:b/>
          <w:szCs w:val="22"/>
        </w:rPr>
        <w:t>Rationale for Retain/Revise/</w:t>
      </w:r>
      <w:r w:rsidR="00DF4888">
        <w:rPr>
          <w:b/>
          <w:szCs w:val="22"/>
        </w:rPr>
        <w:t>Complete/</w:t>
      </w:r>
      <w:r>
        <w:rPr>
          <w:b/>
          <w:szCs w:val="22"/>
        </w:rPr>
        <w:t>Delete Assessment:</w:t>
      </w:r>
    </w:p>
    <w:p w:rsidR="0086495E" w:rsidRPr="003438FF" w:rsidRDefault="004E2850" w:rsidP="003438FF">
      <w:pPr>
        <w:pStyle w:val="ListParagraph"/>
        <w:numPr>
          <w:ilvl w:val="0"/>
          <w:numId w:val="2"/>
        </w:numPr>
        <w:rPr>
          <w:b/>
        </w:rPr>
      </w:pPr>
      <w:r w:rsidRPr="003438FF">
        <w:t>Action has been completed</w:t>
      </w:r>
      <w:r w:rsidR="003438FF">
        <w:t>.</w:t>
      </w:r>
      <w:r w:rsidRPr="00665CE0">
        <w:t xml:space="preserve"> </w:t>
      </w:r>
      <w:r w:rsidR="0086495E" w:rsidRPr="00665CE0">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6"/>
        <w:gridCol w:w="1622"/>
        <w:gridCol w:w="3372"/>
        <w:gridCol w:w="2516"/>
      </w:tblGrid>
      <w:tr w:rsidR="007F06A8" w:rsidRPr="00877A9E" w:rsidTr="007F06A8">
        <w:trPr>
          <w:cantSplit/>
          <w:jc w:val="center"/>
        </w:trPr>
        <w:tc>
          <w:tcPr>
            <w:tcW w:w="2066" w:type="dxa"/>
            <w:tcBorders>
              <w:top w:val="single" w:sz="4" w:space="0" w:color="000000"/>
              <w:left w:val="single" w:sz="4" w:space="0" w:color="000000"/>
              <w:bottom w:val="single" w:sz="4" w:space="0" w:color="000000"/>
              <w:right w:val="single" w:sz="4" w:space="0" w:color="000000"/>
            </w:tcBorders>
          </w:tcPr>
          <w:p w:rsidR="007F06A8" w:rsidRPr="0057795D" w:rsidRDefault="007F06A8" w:rsidP="008872D2">
            <w:pPr>
              <w:rPr>
                <w:b/>
                <w:strike/>
                <w:szCs w:val="22"/>
              </w:rPr>
            </w:pPr>
            <w:r w:rsidRPr="0057795D">
              <w:rPr>
                <w:i/>
                <w:strike/>
                <w:szCs w:val="22"/>
              </w:rPr>
              <w:lastRenderedPageBreak/>
              <w:t xml:space="preserve"> </w:t>
            </w:r>
            <w:r w:rsidRPr="0057795D">
              <w:rPr>
                <w:b/>
                <w:strike/>
                <w:szCs w:val="22"/>
              </w:rPr>
              <w:t>Action</w:t>
            </w:r>
          </w:p>
        </w:tc>
        <w:tc>
          <w:tcPr>
            <w:tcW w:w="1622" w:type="dxa"/>
            <w:tcBorders>
              <w:top w:val="single" w:sz="4" w:space="0" w:color="000000"/>
              <w:left w:val="single" w:sz="4" w:space="0" w:color="000000"/>
              <w:bottom w:val="single" w:sz="4" w:space="0" w:color="000000"/>
              <w:right w:val="single" w:sz="4" w:space="0" w:color="000000"/>
            </w:tcBorders>
          </w:tcPr>
          <w:p w:rsidR="007F06A8" w:rsidRPr="0057795D" w:rsidRDefault="007F06A8" w:rsidP="008872D2">
            <w:pPr>
              <w:rPr>
                <w:b/>
                <w:strike/>
                <w:szCs w:val="22"/>
              </w:rPr>
            </w:pPr>
            <w:r w:rsidRPr="0057795D">
              <w:rPr>
                <w:b/>
                <w:strike/>
                <w:szCs w:val="22"/>
              </w:rPr>
              <w:t>Lead Implementers</w:t>
            </w:r>
          </w:p>
        </w:tc>
        <w:tc>
          <w:tcPr>
            <w:tcW w:w="3372" w:type="dxa"/>
            <w:tcBorders>
              <w:top w:val="single" w:sz="4" w:space="0" w:color="000000"/>
              <w:left w:val="single" w:sz="4" w:space="0" w:color="000000"/>
              <w:bottom w:val="single" w:sz="4" w:space="0" w:color="000000"/>
              <w:right w:val="single" w:sz="4" w:space="0" w:color="000000"/>
            </w:tcBorders>
          </w:tcPr>
          <w:p w:rsidR="007F06A8" w:rsidRPr="0057795D" w:rsidRDefault="007F06A8" w:rsidP="008872D2">
            <w:pPr>
              <w:rPr>
                <w:b/>
                <w:strike/>
                <w:szCs w:val="22"/>
              </w:rPr>
            </w:pPr>
            <w:r w:rsidRPr="0057795D">
              <w:rPr>
                <w:b/>
                <w:strike/>
                <w:szCs w:val="22"/>
              </w:rPr>
              <w:t>Specifics</w:t>
            </w:r>
          </w:p>
        </w:tc>
        <w:tc>
          <w:tcPr>
            <w:tcW w:w="2516" w:type="dxa"/>
            <w:tcBorders>
              <w:top w:val="single" w:sz="4" w:space="0" w:color="000000"/>
              <w:left w:val="single" w:sz="4" w:space="0" w:color="000000"/>
              <w:bottom w:val="single" w:sz="4" w:space="0" w:color="000000"/>
              <w:right w:val="single" w:sz="4" w:space="0" w:color="000000"/>
            </w:tcBorders>
          </w:tcPr>
          <w:p w:rsidR="003438FF" w:rsidRPr="0057795D" w:rsidRDefault="007F06A8" w:rsidP="008872D2">
            <w:pPr>
              <w:rPr>
                <w:b/>
                <w:strike/>
                <w:szCs w:val="22"/>
              </w:rPr>
            </w:pPr>
            <w:r w:rsidRPr="0057795D">
              <w:rPr>
                <w:b/>
                <w:strike/>
                <w:szCs w:val="22"/>
              </w:rPr>
              <w:t>Retain/Revise/</w:t>
            </w:r>
          </w:p>
          <w:p w:rsidR="007F06A8" w:rsidRPr="0057795D" w:rsidRDefault="003438FF" w:rsidP="008872D2">
            <w:pPr>
              <w:rPr>
                <w:b/>
                <w:strike/>
                <w:szCs w:val="22"/>
              </w:rPr>
            </w:pPr>
            <w:r w:rsidRPr="0057795D">
              <w:rPr>
                <w:b/>
                <w:strike/>
                <w:szCs w:val="22"/>
              </w:rPr>
              <w:t>Complete/</w:t>
            </w:r>
            <w:r w:rsidR="007F06A8" w:rsidRPr="0057795D">
              <w:rPr>
                <w:b/>
                <w:strike/>
                <w:szCs w:val="22"/>
              </w:rPr>
              <w:t>Delete</w:t>
            </w:r>
          </w:p>
        </w:tc>
      </w:tr>
      <w:tr w:rsidR="007F06A8" w:rsidRPr="00877A9E" w:rsidTr="007F06A8">
        <w:trPr>
          <w:cantSplit/>
          <w:jc w:val="center"/>
        </w:trPr>
        <w:tc>
          <w:tcPr>
            <w:tcW w:w="2066" w:type="dxa"/>
            <w:tcBorders>
              <w:top w:val="single" w:sz="4" w:space="0" w:color="000000"/>
              <w:left w:val="single" w:sz="4" w:space="0" w:color="000000"/>
              <w:bottom w:val="single" w:sz="4" w:space="0" w:color="000000"/>
              <w:right w:val="single" w:sz="4" w:space="0" w:color="000000"/>
            </w:tcBorders>
          </w:tcPr>
          <w:p w:rsidR="007F06A8" w:rsidRPr="0057795D" w:rsidRDefault="007F06A8" w:rsidP="008872D2">
            <w:pPr>
              <w:rPr>
                <w:strike/>
                <w:szCs w:val="22"/>
              </w:rPr>
            </w:pPr>
            <w:r w:rsidRPr="0057795D">
              <w:rPr>
                <w:strike/>
                <w:szCs w:val="22"/>
              </w:rPr>
              <w:t>Evaluate the efficiency and equity of the state income tax</w:t>
            </w:r>
          </w:p>
        </w:tc>
        <w:tc>
          <w:tcPr>
            <w:tcW w:w="1622" w:type="dxa"/>
            <w:tcBorders>
              <w:top w:val="single" w:sz="4" w:space="0" w:color="000000"/>
              <w:left w:val="single" w:sz="4" w:space="0" w:color="000000"/>
              <w:bottom w:val="single" w:sz="4" w:space="0" w:color="000000"/>
              <w:right w:val="single" w:sz="4" w:space="0" w:color="000000"/>
            </w:tcBorders>
          </w:tcPr>
          <w:p w:rsidR="007F06A8" w:rsidRPr="0057795D" w:rsidRDefault="007F06A8" w:rsidP="008872D2">
            <w:pPr>
              <w:rPr>
                <w:strike/>
                <w:szCs w:val="22"/>
              </w:rPr>
            </w:pPr>
            <w:r w:rsidRPr="0057795D">
              <w:rPr>
                <w:strike/>
                <w:szCs w:val="22"/>
              </w:rPr>
              <w:t>Task Force, CMAP Board, State</w:t>
            </w:r>
          </w:p>
        </w:tc>
        <w:tc>
          <w:tcPr>
            <w:tcW w:w="3372" w:type="dxa"/>
            <w:tcBorders>
              <w:top w:val="single" w:sz="4" w:space="0" w:color="000000"/>
              <w:left w:val="single" w:sz="4" w:space="0" w:color="000000"/>
              <w:bottom w:val="single" w:sz="4" w:space="0" w:color="000000"/>
              <w:right w:val="single" w:sz="4" w:space="0" w:color="000000"/>
            </w:tcBorders>
          </w:tcPr>
          <w:p w:rsidR="007F06A8" w:rsidRPr="0057795D" w:rsidRDefault="007F06A8" w:rsidP="008872D2">
            <w:pPr>
              <w:rPr>
                <w:strike/>
                <w:szCs w:val="22"/>
              </w:rPr>
            </w:pPr>
            <w:r w:rsidRPr="0057795D">
              <w:rPr>
                <w:strike/>
                <w:szCs w:val="22"/>
              </w:rPr>
              <w:t>Evaluate the impacts of graduating the state income tax by applying marginal rates for different tax brackets.  Also evaluate the relatively narrow nature of the state’s income tax base, given its exemptions for retirement income, particularly public and private pensions</w:t>
            </w:r>
            <w:proofErr w:type="gramStart"/>
            <w:r w:rsidRPr="0057795D">
              <w:rPr>
                <w:strike/>
                <w:szCs w:val="22"/>
              </w:rPr>
              <w:t>..</w:t>
            </w:r>
            <w:proofErr w:type="gramEnd"/>
            <w:r w:rsidRPr="0057795D">
              <w:rPr>
                <w:strike/>
                <w:szCs w:val="22"/>
              </w:rPr>
              <w:t xml:space="preserve">  Prepare detailed recommendation.</w:t>
            </w:r>
            <w:r w:rsidRPr="0057795D">
              <w:rPr>
                <w:strike/>
                <w:szCs w:val="22"/>
              </w:rPr>
              <w:br/>
            </w:r>
          </w:p>
        </w:tc>
        <w:tc>
          <w:tcPr>
            <w:tcW w:w="2516" w:type="dxa"/>
            <w:tcBorders>
              <w:top w:val="single" w:sz="4" w:space="0" w:color="000000"/>
              <w:left w:val="single" w:sz="4" w:space="0" w:color="000000"/>
              <w:bottom w:val="single" w:sz="4" w:space="0" w:color="000000"/>
              <w:right w:val="single" w:sz="4" w:space="0" w:color="000000"/>
            </w:tcBorders>
          </w:tcPr>
          <w:p w:rsidR="007F06A8" w:rsidRPr="0057795D" w:rsidRDefault="003438FF" w:rsidP="008872D2">
            <w:pPr>
              <w:rPr>
                <w:strike/>
                <w:szCs w:val="22"/>
              </w:rPr>
            </w:pPr>
            <w:r w:rsidRPr="0057795D">
              <w:rPr>
                <w:strike/>
                <w:szCs w:val="22"/>
              </w:rPr>
              <w:t>Complete</w:t>
            </w:r>
          </w:p>
        </w:tc>
      </w:tr>
    </w:tbl>
    <w:p w:rsidR="0086495E" w:rsidRPr="00877A9E" w:rsidRDefault="0086495E" w:rsidP="0086495E">
      <w:pPr>
        <w:rPr>
          <w:szCs w:val="22"/>
        </w:rPr>
      </w:pPr>
    </w:p>
    <w:p w:rsidR="0086495E" w:rsidRPr="00877A9E" w:rsidRDefault="0086495E" w:rsidP="0086495E">
      <w:pPr>
        <w:rPr>
          <w:b/>
          <w:szCs w:val="22"/>
        </w:rPr>
      </w:pPr>
      <w:r w:rsidRPr="00877A9E">
        <w:rPr>
          <w:b/>
          <w:szCs w:val="22"/>
        </w:rPr>
        <w:t>Implementation Examples:</w:t>
      </w:r>
    </w:p>
    <w:p w:rsidR="0086495E" w:rsidRPr="00665CE0" w:rsidRDefault="0086495E" w:rsidP="00665CE0">
      <w:pPr>
        <w:pStyle w:val="ListParagraph"/>
        <w:numPr>
          <w:ilvl w:val="0"/>
          <w:numId w:val="2"/>
        </w:numPr>
        <w:rPr>
          <w:b/>
        </w:rPr>
      </w:pPr>
      <w:r w:rsidRPr="00665CE0">
        <w:t xml:space="preserve">CMAP’s Regional Tax Policy Task Force </w:t>
      </w:r>
      <w:r w:rsidR="008872D2" w:rsidRPr="00665CE0">
        <w:t xml:space="preserve">evaluated the state income tax base and recommended that CMAP pursue policies that lead to a broadening of the individual income tax base to include retirement income in conjunction with policies that lower tax rates in the state.  </w:t>
      </w:r>
    </w:p>
    <w:p w:rsidR="007F06A8" w:rsidRDefault="007F06A8" w:rsidP="0086495E">
      <w:pPr>
        <w:rPr>
          <w:b/>
          <w:szCs w:val="22"/>
        </w:rPr>
      </w:pPr>
    </w:p>
    <w:p w:rsidR="004E2850" w:rsidRDefault="007F06A8" w:rsidP="0086495E">
      <w:pPr>
        <w:rPr>
          <w:b/>
          <w:szCs w:val="22"/>
        </w:rPr>
      </w:pPr>
      <w:r>
        <w:rPr>
          <w:b/>
          <w:szCs w:val="22"/>
        </w:rPr>
        <w:t>Rationale for Retain/Revise/</w:t>
      </w:r>
      <w:r w:rsidR="00DF4888">
        <w:rPr>
          <w:b/>
          <w:szCs w:val="22"/>
        </w:rPr>
        <w:t>Complete/</w:t>
      </w:r>
      <w:r>
        <w:rPr>
          <w:b/>
          <w:szCs w:val="22"/>
        </w:rPr>
        <w:t>Delete Assessment:</w:t>
      </w:r>
    </w:p>
    <w:p w:rsidR="0086495E" w:rsidRPr="003438FF" w:rsidRDefault="004E2850" w:rsidP="003438FF">
      <w:pPr>
        <w:pStyle w:val="ListParagraph"/>
        <w:numPr>
          <w:ilvl w:val="0"/>
          <w:numId w:val="2"/>
        </w:numPr>
      </w:pPr>
      <w:r w:rsidRPr="003438FF">
        <w:t>Action has been completed</w:t>
      </w:r>
      <w:r w:rsidR="003438FF">
        <w:t>.</w:t>
      </w:r>
      <w:r w:rsidR="0086495E" w:rsidRPr="003438FF">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1"/>
        <w:gridCol w:w="1622"/>
        <w:gridCol w:w="3316"/>
        <w:gridCol w:w="2427"/>
      </w:tblGrid>
      <w:tr w:rsidR="008738F7" w:rsidRPr="00877A9E" w:rsidTr="008738F7">
        <w:trPr>
          <w:jc w:val="center"/>
        </w:trPr>
        <w:tc>
          <w:tcPr>
            <w:tcW w:w="2211" w:type="dxa"/>
            <w:tcBorders>
              <w:top w:val="single" w:sz="4" w:space="0" w:color="000000"/>
              <w:left w:val="single" w:sz="4" w:space="0" w:color="000000"/>
              <w:bottom w:val="single" w:sz="4" w:space="0" w:color="000000"/>
              <w:right w:val="single" w:sz="4" w:space="0" w:color="000000"/>
            </w:tcBorders>
          </w:tcPr>
          <w:p w:rsidR="008738F7" w:rsidRPr="0057795D" w:rsidRDefault="008738F7" w:rsidP="008872D2">
            <w:pPr>
              <w:rPr>
                <w:b/>
                <w:strike/>
                <w:szCs w:val="22"/>
              </w:rPr>
            </w:pPr>
            <w:r w:rsidRPr="0057795D">
              <w:rPr>
                <w:i/>
                <w:strike/>
                <w:szCs w:val="22"/>
              </w:rPr>
              <w:lastRenderedPageBreak/>
              <w:t xml:space="preserve"> </w:t>
            </w:r>
            <w:r w:rsidRPr="0057795D">
              <w:rPr>
                <w:b/>
                <w:strike/>
                <w:szCs w:val="22"/>
              </w:rPr>
              <w:t>Action</w:t>
            </w:r>
          </w:p>
        </w:tc>
        <w:tc>
          <w:tcPr>
            <w:tcW w:w="1622" w:type="dxa"/>
            <w:tcBorders>
              <w:top w:val="single" w:sz="4" w:space="0" w:color="000000"/>
              <w:left w:val="single" w:sz="4" w:space="0" w:color="000000"/>
              <w:bottom w:val="single" w:sz="4" w:space="0" w:color="000000"/>
              <w:right w:val="single" w:sz="4" w:space="0" w:color="000000"/>
            </w:tcBorders>
          </w:tcPr>
          <w:p w:rsidR="008738F7" w:rsidRPr="0057795D" w:rsidRDefault="008738F7" w:rsidP="008872D2">
            <w:pPr>
              <w:rPr>
                <w:b/>
                <w:strike/>
                <w:szCs w:val="22"/>
              </w:rPr>
            </w:pPr>
            <w:r w:rsidRPr="0057795D">
              <w:rPr>
                <w:b/>
                <w:strike/>
                <w:szCs w:val="22"/>
              </w:rPr>
              <w:t>Lead Implementers</w:t>
            </w:r>
          </w:p>
        </w:tc>
        <w:tc>
          <w:tcPr>
            <w:tcW w:w="3316" w:type="dxa"/>
            <w:tcBorders>
              <w:top w:val="single" w:sz="4" w:space="0" w:color="000000"/>
              <w:left w:val="single" w:sz="4" w:space="0" w:color="000000"/>
              <w:bottom w:val="single" w:sz="4" w:space="0" w:color="000000"/>
              <w:right w:val="single" w:sz="4" w:space="0" w:color="000000"/>
            </w:tcBorders>
          </w:tcPr>
          <w:p w:rsidR="008738F7" w:rsidRPr="0057795D" w:rsidRDefault="008738F7" w:rsidP="008872D2">
            <w:pPr>
              <w:rPr>
                <w:b/>
                <w:strike/>
                <w:szCs w:val="22"/>
              </w:rPr>
            </w:pPr>
            <w:r w:rsidRPr="0057795D">
              <w:rPr>
                <w:b/>
                <w:strike/>
                <w:szCs w:val="22"/>
              </w:rPr>
              <w:t>Specifics</w:t>
            </w:r>
          </w:p>
        </w:tc>
        <w:tc>
          <w:tcPr>
            <w:tcW w:w="2427" w:type="dxa"/>
            <w:tcBorders>
              <w:top w:val="single" w:sz="4" w:space="0" w:color="000000"/>
              <w:left w:val="single" w:sz="4" w:space="0" w:color="000000"/>
              <w:bottom w:val="single" w:sz="4" w:space="0" w:color="000000"/>
              <w:right w:val="single" w:sz="4" w:space="0" w:color="000000"/>
            </w:tcBorders>
          </w:tcPr>
          <w:p w:rsidR="003438FF" w:rsidRPr="0057795D" w:rsidRDefault="008738F7" w:rsidP="008872D2">
            <w:pPr>
              <w:rPr>
                <w:b/>
                <w:strike/>
                <w:szCs w:val="22"/>
              </w:rPr>
            </w:pPr>
            <w:r w:rsidRPr="0057795D">
              <w:rPr>
                <w:b/>
                <w:strike/>
                <w:szCs w:val="22"/>
              </w:rPr>
              <w:t>Retain/Revise/</w:t>
            </w:r>
          </w:p>
          <w:p w:rsidR="008738F7" w:rsidRPr="0057795D" w:rsidRDefault="003438FF" w:rsidP="008872D2">
            <w:pPr>
              <w:rPr>
                <w:b/>
                <w:strike/>
                <w:szCs w:val="22"/>
              </w:rPr>
            </w:pPr>
            <w:r w:rsidRPr="0057795D">
              <w:rPr>
                <w:b/>
                <w:strike/>
                <w:szCs w:val="22"/>
              </w:rPr>
              <w:t>Complete/</w:t>
            </w:r>
            <w:r w:rsidR="008738F7" w:rsidRPr="0057795D">
              <w:rPr>
                <w:b/>
                <w:strike/>
                <w:szCs w:val="22"/>
              </w:rPr>
              <w:t>Delete</w:t>
            </w:r>
          </w:p>
        </w:tc>
      </w:tr>
      <w:tr w:rsidR="008738F7" w:rsidRPr="00877A9E" w:rsidTr="008738F7">
        <w:trPr>
          <w:jc w:val="center"/>
        </w:trPr>
        <w:tc>
          <w:tcPr>
            <w:tcW w:w="2211" w:type="dxa"/>
            <w:tcBorders>
              <w:top w:val="single" w:sz="4" w:space="0" w:color="000000"/>
              <w:left w:val="single" w:sz="4" w:space="0" w:color="000000"/>
              <w:bottom w:val="single" w:sz="4" w:space="0" w:color="000000"/>
              <w:right w:val="single" w:sz="4" w:space="0" w:color="000000"/>
            </w:tcBorders>
          </w:tcPr>
          <w:p w:rsidR="008738F7" w:rsidRPr="0057795D" w:rsidRDefault="008738F7" w:rsidP="008872D2">
            <w:pPr>
              <w:rPr>
                <w:strike/>
                <w:szCs w:val="22"/>
              </w:rPr>
            </w:pPr>
            <w:r w:rsidRPr="0057795D">
              <w:rPr>
                <w:strike/>
                <w:szCs w:val="22"/>
              </w:rPr>
              <w:t>Evaluate the various ramifications of local tax capacity</w:t>
            </w:r>
          </w:p>
        </w:tc>
        <w:tc>
          <w:tcPr>
            <w:tcW w:w="1622" w:type="dxa"/>
            <w:tcBorders>
              <w:top w:val="single" w:sz="4" w:space="0" w:color="000000"/>
              <w:left w:val="single" w:sz="4" w:space="0" w:color="000000"/>
              <w:bottom w:val="single" w:sz="4" w:space="0" w:color="000000"/>
              <w:right w:val="single" w:sz="4" w:space="0" w:color="000000"/>
            </w:tcBorders>
          </w:tcPr>
          <w:p w:rsidR="008738F7" w:rsidRPr="0057795D" w:rsidRDefault="008738F7" w:rsidP="008872D2">
            <w:pPr>
              <w:rPr>
                <w:strike/>
                <w:szCs w:val="22"/>
              </w:rPr>
            </w:pPr>
            <w:r w:rsidRPr="0057795D">
              <w:rPr>
                <w:strike/>
                <w:szCs w:val="22"/>
              </w:rPr>
              <w:t>Task Force, CMAP Board, State, counties, municipalities</w:t>
            </w:r>
            <w:r w:rsidRPr="0057795D">
              <w:rPr>
                <w:strike/>
                <w:szCs w:val="22"/>
              </w:rPr>
              <w:br/>
            </w:r>
          </w:p>
        </w:tc>
        <w:tc>
          <w:tcPr>
            <w:tcW w:w="3316" w:type="dxa"/>
            <w:tcBorders>
              <w:top w:val="single" w:sz="4" w:space="0" w:color="000000"/>
              <w:left w:val="single" w:sz="4" w:space="0" w:color="000000"/>
              <w:bottom w:val="single" w:sz="4" w:space="0" w:color="000000"/>
              <w:right w:val="single" w:sz="4" w:space="0" w:color="000000"/>
            </w:tcBorders>
          </w:tcPr>
          <w:p w:rsidR="008738F7" w:rsidRPr="0057795D" w:rsidRDefault="008738F7" w:rsidP="008872D2">
            <w:pPr>
              <w:rPr>
                <w:strike/>
                <w:szCs w:val="22"/>
              </w:rPr>
            </w:pPr>
            <w:r w:rsidRPr="0057795D">
              <w:rPr>
                <w:strike/>
                <w:szCs w:val="22"/>
              </w:rPr>
              <w:t xml:space="preserve">Evaluate the overall equity impacts of the tax system in northeastern Illinois.  Recommend tax and other fiscal reforms that promise to increase equity without sacrificing regional economic productivity.  Prepare detailed recommendation.  </w:t>
            </w:r>
            <w:r w:rsidRPr="0057795D">
              <w:rPr>
                <w:strike/>
                <w:szCs w:val="22"/>
              </w:rPr>
              <w:br/>
            </w:r>
          </w:p>
        </w:tc>
        <w:tc>
          <w:tcPr>
            <w:tcW w:w="2427" w:type="dxa"/>
            <w:tcBorders>
              <w:top w:val="single" w:sz="4" w:space="0" w:color="000000"/>
              <w:left w:val="single" w:sz="4" w:space="0" w:color="000000"/>
              <w:bottom w:val="single" w:sz="4" w:space="0" w:color="000000"/>
              <w:right w:val="single" w:sz="4" w:space="0" w:color="000000"/>
            </w:tcBorders>
          </w:tcPr>
          <w:p w:rsidR="008738F7" w:rsidRPr="0057795D" w:rsidRDefault="003438FF" w:rsidP="008872D2">
            <w:pPr>
              <w:rPr>
                <w:strike/>
                <w:szCs w:val="22"/>
              </w:rPr>
            </w:pPr>
            <w:r w:rsidRPr="0057795D">
              <w:rPr>
                <w:strike/>
                <w:szCs w:val="22"/>
              </w:rPr>
              <w:t>Complet</w:t>
            </w:r>
            <w:r w:rsidR="004E2850" w:rsidRPr="0057795D">
              <w:rPr>
                <w:strike/>
                <w:szCs w:val="22"/>
              </w:rPr>
              <w:t>e</w:t>
            </w:r>
          </w:p>
        </w:tc>
      </w:tr>
    </w:tbl>
    <w:p w:rsidR="0086495E" w:rsidRPr="00877A9E" w:rsidRDefault="0086495E" w:rsidP="0086495E">
      <w:pPr>
        <w:rPr>
          <w:szCs w:val="22"/>
        </w:rPr>
      </w:pPr>
    </w:p>
    <w:p w:rsidR="0086495E" w:rsidRPr="00877A9E" w:rsidRDefault="0086495E" w:rsidP="0086495E">
      <w:pPr>
        <w:rPr>
          <w:b/>
          <w:szCs w:val="22"/>
        </w:rPr>
      </w:pPr>
      <w:r w:rsidRPr="00877A9E">
        <w:rPr>
          <w:b/>
          <w:szCs w:val="22"/>
        </w:rPr>
        <w:t>Implementation Examples:</w:t>
      </w:r>
    </w:p>
    <w:p w:rsidR="00BC7AA7" w:rsidRPr="008738F7" w:rsidRDefault="0086495E" w:rsidP="00665CE0">
      <w:pPr>
        <w:pStyle w:val="ListParagraph"/>
        <w:numPr>
          <w:ilvl w:val="0"/>
          <w:numId w:val="2"/>
        </w:numPr>
        <w:rPr>
          <w:b/>
        </w:rPr>
      </w:pPr>
      <w:r w:rsidRPr="00665CE0">
        <w:t>CMAP’s Regional Tax Policy Task Force</w:t>
      </w:r>
      <w:r w:rsidR="008872D2" w:rsidRPr="00665CE0">
        <w:t xml:space="preserve"> evaluated the impact of variations in</w:t>
      </w:r>
      <w:r w:rsidR="004B488B" w:rsidRPr="00665CE0">
        <w:t xml:space="preserve"> local tax capacity.  They recommended that CMAP should consider than when differentials in tax capacity are extreme, the entire region’s capacity to attract and maintain business investment may be affected, and that CMAP support policies that provide for regional needs.  </w:t>
      </w:r>
    </w:p>
    <w:p w:rsidR="008738F7" w:rsidRDefault="008738F7" w:rsidP="008738F7">
      <w:pPr>
        <w:rPr>
          <w:b/>
          <w:szCs w:val="22"/>
        </w:rPr>
      </w:pPr>
    </w:p>
    <w:p w:rsidR="008738F7" w:rsidRDefault="008738F7" w:rsidP="008738F7">
      <w:pPr>
        <w:rPr>
          <w:b/>
          <w:szCs w:val="22"/>
        </w:rPr>
      </w:pPr>
      <w:r>
        <w:rPr>
          <w:b/>
          <w:szCs w:val="22"/>
        </w:rPr>
        <w:t>Rationale for Retain/Revise/</w:t>
      </w:r>
      <w:r w:rsidR="00DF4888">
        <w:rPr>
          <w:b/>
          <w:szCs w:val="22"/>
        </w:rPr>
        <w:t>Complete/</w:t>
      </w:r>
      <w:r>
        <w:rPr>
          <w:b/>
          <w:szCs w:val="22"/>
        </w:rPr>
        <w:t>Delete Assessment:</w:t>
      </w:r>
    </w:p>
    <w:p w:rsidR="000B6283" w:rsidRDefault="004E2850" w:rsidP="003438FF">
      <w:pPr>
        <w:pStyle w:val="ListParagraph"/>
        <w:numPr>
          <w:ilvl w:val="0"/>
          <w:numId w:val="2"/>
        </w:numPr>
      </w:pPr>
      <w:r w:rsidRPr="003438FF">
        <w:t>Action has been completed</w:t>
      </w:r>
      <w:r w:rsidR="003438FF" w:rsidRPr="003438FF">
        <w:t>.</w:t>
      </w:r>
    </w:p>
    <w:p w:rsidR="000B6283" w:rsidRDefault="000B6283" w:rsidP="00E616B6">
      <w:pPr>
        <w:rPr>
          <w:rFonts w:eastAsiaTheme="minorHAnsi" w:cstheme="minorBidi"/>
          <w:szCs w:val="22"/>
        </w:rPr>
      </w:pPr>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1"/>
        <w:gridCol w:w="1622"/>
        <w:gridCol w:w="3316"/>
        <w:gridCol w:w="2427"/>
      </w:tblGrid>
      <w:tr w:rsidR="000B6283" w:rsidRPr="00877A9E" w:rsidTr="006D5EB2">
        <w:trPr>
          <w:jc w:val="center"/>
        </w:trPr>
        <w:tc>
          <w:tcPr>
            <w:tcW w:w="2211" w:type="dxa"/>
            <w:tcBorders>
              <w:top w:val="single" w:sz="4" w:space="0" w:color="000000"/>
              <w:left w:val="single" w:sz="4" w:space="0" w:color="000000"/>
              <w:bottom w:val="single" w:sz="4" w:space="0" w:color="000000"/>
              <w:right w:val="single" w:sz="4" w:space="0" w:color="000000"/>
            </w:tcBorders>
          </w:tcPr>
          <w:p w:rsidR="000B6283" w:rsidRPr="0057795D" w:rsidRDefault="000B6283" w:rsidP="006D5EB2">
            <w:pPr>
              <w:rPr>
                <w:b/>
                <w:szCs w:val="22"/>
              </w:rPr>
            </w:pPr>
            <w:r w:rsidRPr="0057795D">
              <w:rPr>
                <w:b/>
                <w:szCs w:val="22"/>
              </w:rPr>
              <w:lastRenderedPageBreak/>
              <w:t>Action</w:t>
            </w:r>
          </w:p>
        </w:tc>
        <w:tc>
          <w:tcPr>
            <w:tcW w:w="1622" w:type="dxa"/>
            <w:tcBorders>
              <w:top w:val="single" w:sz="4" w:space="0" w:color="000000"/>
              <w:left w:val="single" w:sz="4" w:space="0" w:color="000000"/>
              <w:bottom w:val="single" w:sz="4" w:space="0" w:color="000000"/>
              <w:right w:val="single" w:sz="4" w:space="0" w:color="000000"/>
            </w:tcBorders>
          </w:tcPr>
          <w:p w:rsidR="000B6283" w:rsidRPr="0057795D" w:rsidRDefault="000B6283" w:rsidP="006D5EB2">
            <w:pPr>
              <w:rPr>
                <w:b/>
                <w:szCs w:val="22"/>
              </w:rPr>
            </w:pPr>
            <w:r w:rsidRPr="0057795D">
              <w:rPr>
                <w:b/>
                <w:szCs w:val="22"/>
              </w:rPr>
              <w:t>Lead Implementers</w:t>
            </w:r>
          </w:p>
        </w:tc>
        <w:tc>
          <w:tcPr>
            <w:tcW w:w="3316" w:type="dxa"/>
            <w:tcBorders>
              <w:top w:val="single" w:sz="4" w:space="0" w:color="000000"/>
              <w:left w:val="single" w:sz="4" w:space="0" w:color="000000"/>
              <w:bottom w:val="single" w:sz="4" w:space="0" w:color="000000"/>
              <w:right w:val="single" w:sz="4" w:space="0" w:color="000000"/>
            </w:tcBorders>
          </w:tcPr>
          <w:p w:rsidR="000B6283" w:rsidRPr="0057795D" w:rsidRDefault="000B6283" w:rsidP="006D5EB2">
            <w:pPr>
              <w:rPr>
                <w:b/>
                <w:szCs w:val="22"/>
              </w:rPr>
            </w:pPr>
            <w:r w:rsidRPr="0057795D">
              <w:rPr>
                <w:b/>
                <w:szCs w:val="22"/>
              </w:rPr>
              <w:t>Specifics</w:t>
            </w:r>
          </w:p>
        </w:tc>
        <w:tc>
          <w:tcPr>
            <w:tcW w:w="2427" w:type="dxa"/>
            <w:tcBorders>
              <w:top w:val="single" w:sz="4" w:space="0" w:color="000000"/>
              <w:left w:val="single" w:sz="4" w:space="0" w:color="000000"/>
              <w:bottom w:val="single" w:sz="4" w:space="0" w:color="000000"/>
              <w:right w:val="single" w:sz="4" w:space="0" w:color="000000"/>
            </w:tcBorders>
          </w:tcPr>
          <w:p w:rsidR="000B6283" w:rsidRPr="0057795D" w:rsidRDefault="000B6283" w:rsidP="006D5EB2">
            <w:pPr>
              <w:rPr>
                <w:b/>
                <w:szCs w:val="22"/>
              </w:rPr>
            </w:pPr>
            <w:r w:rsidRPr="0057795D">
              <w:rPr>
                <w:b/>
                <w:szCs w:val="22"/>
              </w:rPr>
              <w:t>Retain/Revise/</w:t>
            </w:r>
          </w:p>
          <w:p w:rsidR="000B6283" w:rsidRPr="0057795D" w:rsidRDefault="000B6283" w:rsidP="006D5EB2">
            <w:pPr>
              <w:rPr>
                <w:b/>
                <w:szCs w:val="22"/>
              </w:rPr>
            </w:pPr>
            <w:r w:rsidRPr="0057795D">
              <w:rPr>
                <w:b/>
                <w:szCs w:val="22"/>
              </w:rPr>
              <w:t>Complete/Delete</w:t>
            </w:r>
          </w:p>
        </w:tc>
      </w:tr>
      <w:tr w:rsidR="000B6283" w:rsidRPr="00877A9E" w:rsidTr="006D5EB2">
        <w:trPr>
          <w:jc w:val="center"/>
        </w:trPr>
        <w:tc>
          <w:tcPr>
            <w:tcW w:w="2211" w:type="dxa"/>
            <w:tcBorders>
              <w:top w:val="single" w:sz="4" w:space="0" w:color="000000"/>
              <w:left w:val="single" w:sz="4" w:space="0" w:color="000000"/>
              <w:bottom w:val="single" w:sz="4" w:space="0" w:color="000000"/>
              <w:right w:val="single" w:sz="4" w:space="0" w:color="000000"/>
            </w:tcBorders>
          </w:tcPr>
          <w:p w:rsidR="000B6283" w:rsidRPr="0057795D" w:rsidRDefault="000B6283" w:rsidP="006D5EB2">
            <w:pPr>
              <w:rPr>
                <w:szCs w:val="22"/>
              </w:rPr>
            </w:pPr>
            <w:r w:rsidRPr="0057795D">
              <w:rPr>
                <w:bCs/>
              </w:rPr>
              <w:t>Play a leadership role in facilitating a regional perspective on tax policy</w:t>
            </w:r>
          </w:p>
        </w:tc>
        <w:tc>
          <w:tcPr>
            <w:tcW w:w="1622" w:type="dxa"/>
            <w:tcBorders>
              <w:top w:val="single" w:sz="4" w:space="0" w:color="000000"/>
              <w:left w:val="single" w:sz="4" w:space="0" w:color="000000"/>
              <w:bottom w:val="single" w:sz="4" w:space="0" w:color="000000"/>
              <w:right w:val="single" w:sz="4" w:space="0" w:color="000000"/>
            </w:tcBorders>
          </w:tcPr>
          <w:p w:rsidR="000B6283" w:rsidRPr="0057795D" w:rsidRDefault="000B6283" w:rsidP="006D5EB2">
            <w:pPr>
              <w:rPr>
                <w:szCs w:val="22"/>
              </w:rPr>
            </w:pPr>
            <w:r w:rsidRPr="000B6283">
              <w:rPr>
                <w:szCs w:val="22"/>
              </w:rPr>
              <w:t>CMAP</w:t>
            </w:r>
            <w:r w:rsidRPr="0057795D">
              <w:rPr>
                <w:szCs w:val="22"/>
              </w:rPr>
              <w:br/>
            </w:r>
          </w:p>
        </w:tc>
        <w:tc>
          <w:tcPr>
            <w:tcW w:w="3316" w:type="dxa"/>
            <w:tcBorders>
              <w:top w:val="single" w:sz="4" w:space="0" w:color="000000"/>
              <w:left w:val="single" w:sz="4" w:space="0" w:color="000000"/>
              <w:bottom w:val="single" w:sz="4" w:space="0" w:color="000000"/>
              <w:right w:val="single" w:sz="4" w:space="0" w:color="000000"/>
            </w:tcBorders>
          </w:tcPr>
          <w:p w:rsidR="000B6283" w:rsidRPr="0057795D" w:rsidRDefault="000B6283" w:rsidP="006D5EB2">
            <w:pPr>
              <w:rPr>
                <w:szCs w:val="22"/>
              </w:rPr>
            </w:pPr>
            <w:r w:rsidRPr="0057795D">
              <w:t>CMAP should take an active role in defining a regional perspective, backed by rigorous research and analysis, with respect to tax policy issues and appropriate changes in tax law that are in the best interests of the region as a whole, as well as the governments that are an integral part of the region and the residents and businesses that pay taxes.</w:t>
            </w:r>
          </w:p>
        </w:tc>
        <w:tc>
          <w:tcPr>
            <w:tcW w:w="2427" w:type="dxa"/>
            <w:tcBorders>
              <w:top w:val="single" w:sz="4" w:space="0" w:color="000000"/>
              <w:left w:val="single" w:sz="4" w:space="0" w:color="000000"/>
              <w:bottom w:val="single" w:sz="4" w:space="0" w:color="000000"/>
              <w:right w:val="single" w:sz="4" w:space="0" w:color="000000"/>
            </w:tcBorders>
          </w:tcPr>
          <w:p w:rsidR="000B6283" w:rsidRPr="0057795D" w:rsidRDefault="00DE6FCF">
            <w:pPr>
              <w:rPr>
                <w:szCs w:val="22"/>
              </w:rPr>
            </w:pPr>
            <w:r>
              <w:rPr>
                <w:szCs w:val="22"/>
              </w:rPr>
              <w:t xml:space="preserve">This is a potential new implementation action to build off the </w:t>
            </w:r>
            <w:r w:rsidR="003A4591">
              <w:rPr>
                <w:szCs w:val="22"/>
              </w:rPr>
              <w:t xml:space="preserve">recommendations of the </w:t>
            </w:r>
            <w:r>
              <w:rPr>
                <w:szCs w:val="22"/>
              </w:rPr>
              <w:t>Regional Tax Policy Task Force.</w:t>
            </w:r>
          </w:p>
        </w:tc>
      </w:tr>
    </w:tbl>
    <w:p w:rsidR="00E024A2" w:rsidRDefault="00E024A2" w:rsidP="000B6283">
      <w:pPr>
        <w:rPr>
          <w:b/>
        </w:rPr>
      </w:pPr>
    </w:p>
    <w:p w:rsidR="00E024A2" w:rsidRDefault="00E024A2" w:rsidP="0057795D">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1"/>
        <w:gridCol w:w="1622"/>
        <w:gridCol w:w="3316"/>
        <w:gridCol w:w="2427"/>
      </w:tblGrid>
      <w:tr w:rsidR="00E024A2" w:rsidRPr="00877A9E" w:rsidTr="006D5EB2">
        <w:trPr>
          <w:jc w:val="center"/>
        </w:trPr>
        <w:tc>
          <w:tcPr>
            <w:tcW w:w="2211" w:type="dxa"/>
            <w:tcBorders>
              <w:top w:val="single" w:sz="4" w:space="0" w:color="000000"/>
              <w:left w:val="single" w:sz="4" w:space="0" w:color="000000"/>
              <w:bottom w:val="single" w:sz="4" w:space="0" w:color="000000"/>
              <w:right w:val="single" w:sz="4" w:space="0" w:color="000000"/>
            </w:tcBorders>
          </w:tcPr>
          <w:p w:rsidR="00E024A2" w:rsidRPr="006D5EB2" w:rsidRDefault="00E024A2" w:rsidP="006D5EB2">
            <w:pPr>
              <w:rPr>
                <w:b/>
                <w:szCs w:val="22"/>
              </w:rPr>
            </w:pPr>
            <w:r w:rsidRPr="006D5EB2">
              <w:rPr>
                <w:b/>
                <w:szCs w:val="22"/>
              </w:rPr>
              <w:lastRenderedPageBreak/>
              <w:t>Action</w:t>
            </w:r>
          </w:p>
        </w:tc>
        <w:tc>
          <w:tcPr>
            <w:tcW w:w="1622" w:type="dxa"/>
            <w:tcBorders>
              <w:top w:val="single" w:sz="4" w:space="0" w:color="000000"/>
              <w:left w:val="single" w:sz="4" w:space="0" w:color="000000"/>
              <w:bottom w:val="single" w:sz="4" w:space="0" w:color="000000"/>
              <w:right w:val="single" w:sz="4" w:space="0" w:color="000000"/>
            </w:tcBorders>
          </w:tcPr>
          <w:p w:rsidR="00E024A2" w:rsidRPr="006D5EB2" w:rsidRDefault="00E024A2" w:rsidP="006D5EB2">
            <w:pPr>
              <w:rPr>
                <w:b/>
                <w:szCs w:val="22"/>
              </w:rPr>
            </w:pPr>
            <w:r w:rsidRPr="006D5EB2">
              <w:rPr>
                <w:b/>
                <w:szCs w:val="22"/>
              </w:rPr>
              <w:t>Lead Implementers</w:t>
            </w:r>
          </w:p>
        </w:tc>
        <w:tc>
          <w:tcPr>
            <w:tcW w:w="3316" w:type="dxa"/>
            <w:tcBorders>
              <w:top w:val="single" w:sz="4" w:space="0" w:color="000000"/>
              <w:left w:val="single" w:sz="4" w:space="0" w:color="000000"/>
              <w:bottom w:val="single" w:sz="4" w:space="0" w:color="000000"/>
              <w:right w:val="single" w:sz="4" w:space="0" w:color="000000"/>
            </w:tcBorders>
          </w:tcPr>
          <w:p w:rsidR="00E024A2" w:rsidRPr="006D5EB2" w:rsidRDefault="00E024A2" w:rsidP="006D5EB2">
            <w:pPr>
              <w:rPr>
                <w:b/>
                <w:szCs w:val="22"/>
              </w:rPr>
            </w:pPr>
            <w:r w:rsidRPr="006D5EB2">
              <w:rPr>
                <w:b/>
                <w:szCs w:val="22"/>
              </w:rPr>
              <w:t>Specifics</w:t>
            </w:r>
          </w:p>
        </w:tc>
        <w:tc>
          <w:tcPr>
            <w:tcW w:w="2427" w:type="dxa"/>
            <w:tcBorders>
              <w:top w:val="single" w:sz="4" w:space="0" w:color="000000"/>
              <w:left w:val="single" w:sz="4" w:space="0" w:color="000000"/>
              <w:bottom w:val="single" w:sz="4" w:space="0" w:color="000000"/>
              <w:right w:val="single" w:sz="4" w:space="0" w:color="000000"/>
            </w:tcBorders>
          </w:tcPr>
          <w:p w:rsidR="00E024A2" w:rsidRPr="006D5EB2" w:rsidRDefault="00E024A2" w:rsidP="006D5EB2">
            <w:pPr>
              <w:rPr>
                <w:b/>
                <w:szCs w:val="22"/>
              </w:rPr>
            </w:pPr>
            <w:r w:rsidRPr="006D5EB2">
              <w:rPr>
                <w:b/>
                <w:szCs w:val="22"/>
              </w:rPr>
              <w:t>Retain/Revise/</w:t>
            </w:r>
          </w:p>
          <w:p w:rsidR="00E024A2" w:rsidRPr="006D5EB2" w:rsidRDefault="00E024A2" w:rsidP="006D5EB2">
            <w:pPr>
              <w:rPr>
                <w:b/>
                <w:szCs w:val="22"/>
              </w:rPr>
            </w:pPr>
            <w:r w:rsidRPr="006D5EB2">
              <w:rPr>
                <w:b/>
                <w:szCs w:val="22"/>
              </w:rPr>
              <w:t>Complete/Delete</w:t>
            </w:r>
          </w:p>
        </w:tc>
      </w:tr>
      <w:tr w:rsidR="00E024A2" w:rsidRPr="00877A9E" w:rsidTr="006D5EB2">
        <w:trPr>
          <w:jc w:val="center"/>
        </w:trPr>
        <w:tc>
          <w:tcPr>
            <w:tcW w:w="2211" w:type="dxa"/>
            <w:tcBorders>
              <w:top w:val="single" w:sz="4" w:space="0" w:color="000000"/>
              <w:left w:val="single" w:sz="4" w:space="0" w:color="000000"/>
              <w:bottom w:val="single" w:sz="4" w:space="0" w:color="000000"/>
              <w:right w:val="single" w:sz="4" w:space="0" w:color="000000"/>
            </w:tcBorders>
          </w:tcPr>
          <w:p w:rsidR="00E024A2" w:rsidRPr="00E024A2" w:rsidRDefault="00E024A2" w:rsidP="006D5EB2">
            <w:pPr>
              <w:rPr>
                <w:szCs w:val="22"/>
              </w:rPr>
            </w:pPr>
            <w:r w:rsidRPr="0057795D">
              <w:rPr>
                <w:bCs/>
              </w:rPr>
              <w:t>Address tax policy issues in a manner that encourages effective local land use decisions and triggers sustainable economic activity</w:t>
            </w:r>
          </w:p>
        </w:tc>
        <w:tc>
          <w:tcPr>
            <w:tcW w:w="1622" w:type="dxa"/>
            <w:tcBorders>
              <w:top w:val="single" w:sz="4" w:space="0" w:color="000000"/>
              <w:left w:val="single" w:sz="4" w:space="0" w:color="000000"/>
              <w:bottom w:val="single" w:sz="4" w:space="0" w:color="000000"/>
              <w:right w:val="single" w:sz="4" w:space="0" w:color="000000"/>
            </w:tcBorders>
          </w:tcPr>
          <w:p w:rsidR="00E024A2" w:rsidRPr="006D5EB2" w:rsidRDefault="00E024A2" w:rsidP="006D5EB2">
            <w:pPr>
              <w:rPr>
                <w:szCs w:val="22"/>
              </w:rPr>
            </w:pPr>
            <w:r>
              <w:rPr>
                <w:szCs w:val="22"/>
              </w:rPr>
              <w:t>State</w:t>
            </w:r>
            <w:r w:rsidRPr="006D5EB2">
              <w:rPr>
                <w:szCs w:val="22"/>
              </w:rPr>
              <w:br/>
            </w:r>
          </w:p>
        </w:tc>
        <w:tc>
          <w:tcPr>
            <w:tcW w:w="3316" w:type="dxa"/>
            <w:tcBorders>
              <w:top w:val="single" w:sz="4" w:space="0" w:color="000000"/>
              <w:left w:val="single" w:sz="4" w:space="0" w:color="000000"/>
              <w:bottom w:val="single" w:sz="4" w:space="0" w:color="000000"/>
              <w:right w:val="single" w:sz="4" w:space="0" w:color="000000"/>
            </w:tcBorders>
          </w:tcPr>
          <w:p w:rsidR="00E024A2" w:rsidRPr="006D5EB2" w:rsidRDefault="00E024A2" w:rsidP="006D5EB2">
            <w:pPr>
              <w:rPr>
                <w:szCs w:val="22"/>
              </w:rPr>
            </w:pPr>
            <w:r w:rsidRPr="00234800">
              <w:t xml:space="preserve">The State of Illinois, as well as other tax policy implementers, should enact tax policy reforms that benefit the region by encouraging decisions that make effective use of land and generating sustainable economic development.  As an example, the State should consider new approaches to disbursing state sales tax revenue to local governments that enhance both the efficiency and the equity of the system for residents, businesses, and local governments. </w:t>
            </w:r>
            <w:r w:rsidRPr="00234800">
              <w:rPr>
                <w:i/>
                <w:iCs/>
              </w:rPr>
              <w:t> </w:t>
            </w:r>
          </w:p>
        </w:tc>
        <w:tc>
          <w:tcPr>
            <w:tcW w:w="2427" w:type="dxa"/>
            <w:tcBorders>
              <w:top w:val="single" w:sz="4" w:space="0" w:color="000000"/>
              <w:left w:val="single" w:sz="4" w:space="0" w:color="000000"/>
              <w:bottom w:val="single" w:sz="4" w:space="0" w:color="000000"/>
              <w:right w:val="single" w:sz="4" w:space="0" w:color="000000"/>
            </w:tcBorders>
          </w:tcPr>
          <w:p w:rsidR="00E024A2" w:rsidRPr="006D5EB2" w:rsidRDefault="00E024A2" w:rsidP="006D5EB2">
            <w:pPr>
              <w:rPr>
                <w:szCs w:val="22"/>
              </w:rPr>
            </w:pPr>
            <w:r>
              <w:rPr>
                <w:szCs w:val="22"/>
              </w:rPr>
              <w:t xml:space="preserve">This is a potential new implementation action to build off the </w:t>
            </w:r>
            <w:r w:rsidR="003A4591">
              <w:rPr>
                <w:szCs w:val="22"/>
              </w:rPr>
              <w:t xml:space="preserve">recommendations of the </w:t>
            </w:r>
            <w:r>
              <w:rPr>
                <w:szCs w:val="22"/>
              </w:rPr>
              <w:t>Regional Tax Policy Task Force.</w:t>
            </w:r>
          </w:p>
        </w:tc>
      </w:tr>
    </w:tbl>
    <w:p w:rsidR="00E024A2" w:rsidRDefault="00E024A2" w:rsidP="000B6283">
      <w:pPr>
        <w:rPr>
          <w:b/>
        </w:rPr>
      </w:pPr>
    </w:p>
    <w:p w:rsidR="00E024A2" w:rsidRDefault="00E024A2" w:rsidP="0057795D">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1"/>
        <w:gridCol w:w="1622"/>
        <w:gridCol w:w="3316"/>
        <w:gridCol w:w="2427"/>
      </w:tblGrid>
      <w:tr w:rsidR="00E024A2" w:rsidRPr="00877A9E" w:rsidTr="006D5EB2">
        <w:trPr>
          <w:jc w:val="center"/>
        </w:trPr>
        <w:tc>
          <w:tcPr>
            <w:tcW w:w="2211" w:type="dxa"/>
            <w:tcBorders>
              <w:top w:val="single" w:sz="4" w:space="0" w:color="000000"/>
              <w:left w:val="single" w:sz="4" w:space="0" w:color="000000"/>
              <w:bottom w:val="single" w:sz="4" w:space="0" w:color="000000"/>
              <w:right w:val="single" w:sz="4" w:space="0" w:color="000000"/>
            </w:tcBorders>
          </w:tcPr>
          <w:p w:rsidR="00E024A2" w:rsidRPr="006D5EB2" w:rsidRDefault="00E024A2" w:rsidP="006D5EB2">
            <w:pPr>
              <w:rPr>
                <w:b/>
                <w:szCs w:val="22"/>
              </w:rPr>
            </w:pPr>
            <w:r w:rsidRPr="006D5EB2">
              <w:rPr>
                <w:b/>
                <w:szCs w:val="22"/>
              </w:rPr>
              <w:lastRenderedPageBreak/>
              <w:t>Action</w:t>
            </w:r>
          </w:p>
        </w:tc>
        <w:tc>
          <w:tcPr>
            <w:tcW w:w="1622" w:type="dxa"/>
            <w:tcBorders>
              <w:top w:val="single" w:sz="4" w:space="0" w:color="000000"/>
              <w:left w:val="single" w:sz="4" w:space="0" w:color="000000"/>
              <w:bottom w:val="single" w:sz="4" w:space="0" w:color="000000"/>
              <w:right w:val="single" w:sz="4" w:space="0" w:color="000000"/>
            </w:tcBorders>
          </w:tcPr>
          <w:p w:rsidR="00E024A2" w:rsidRPr="006D5EB2" w:rsidRDefault="00E024A2" w:rsidP="006D5EB2">
            <w:pPr>
              <w:rPr>
                <w:b/>
                <w:szCs w:val="22"/>
              </w:rPr>
            </w:pPr>
            <w:r w:rsidRPr="006D5EB2">
              <w:rPr>
                <w:b/>
                <w:szCs w:val="22"/>
              </w:rPr>
              <w:t>Lead Implementers</w:t>
            </w:r>
          </w:p>
        </w:tc>
        <w:tc>
          <w:tcPr>
            <w:tcW w:w="3316" w:type="dxa"/>
            <w:tcBorders>
              <w:top w:val="single" w:sz="4" w:space="0" w:color="000000"/>
              <w:left w:val="single" w:sz="4" w:space="0" w:color="000000"/>
              <w:bottom w:val="single" w:sz="4" w:space="0" w:color="000000"/>
              <w:right w:val="single" w:sz="4" w:space="0" w:color="000000"/>
            </w:tcBorders>
          </w:tcPr>
          <w:p w:rsidR="00E024A2" w:rsidRPr="006D5EB2" w:rsidRDefault="00E024A2" w:rsidP="006D5EB2">
            <w:pPr>
              <w:rPr>
                <w:b/>
                <w:szCs w:val="22"/>
              </w:rPr>
            </w:pPr>
            <w:r w:rsidRPr="006D5EB2">
              <w:rPr>
                <w:b/>
                <w:szCs w:val="22"/>
              </w:rPr>
              <w:t>Specifics</w:t>
            </w:r>
          </w:p>
        </w:tc>
        <w:tc>
          <w:tcPr>
            <w:tcW w:w="2427" w:type="dxa"/>
            <w:tcBorders>
              <w:top w:val="single" w:sz="4" w:space="0" w:color="000000"/>
              <w:left w:val="single" w:sz="4" w:space="0" w:color="000000"/>
              <w:bottom w:val="single" w:sz="4" w:space="0" w:color="000000"/>
              <w:right w:val="single" w:sz="4" w:space="0" w:color="000000"/>
            </w:tcBorders>
          </w:tcPr>
          <w:p w:rsidR="00E024A2" w:rsidRPr="006D5EB2" w:rsidRDefault="00E024A2" w:rsidP="006D5EB2">
            <w:pPr>
              <w:rPr>
                <w:b/>
                <w:szCs w:val="22"/>
              </w:rPr>
            </w:pPr>
            <w:r w:rsidRPr="006D5EB2">
              <w:rPr>
                <w:b/>
                <w:szCs w:val="22"/>
              </w:rPr>
              <w:t>Retain/Revise/</w:t>
            </w:r>
          </w:p>
          <w:p w:rsidR="00E024A2" w:rsidRPr="006D5EB2" w:rsidRDefault="00E024A2" w:rsidP="006D5EB2">
            <w:pPr>
              <w:rPr>
                <w:b/>
                <w:szCs w:val="22"/>
              </w:rPr>
            </w:pPr>
            <w:r w:rsidRPr="006D5EB2">
              <w:rPr>
                <w:b/>
                <w:szCs w:val="22"/>
              </w:rPr>
              <w:t>Complete/Delete</w:t>
            </w:r>
          </w:p>
        </w:tc>
      </w:tr>
      <w:tr w:rsidR="00E024A2" w:rsidRPr="00877A9E" w:rsidTr="006D5EB2">
        <w:trPr>
          <w:jc w:val="center"/>
        </w:trPr>
        <w:tc>
          <w:tcPr>
            <w:tcW w:w="2211" w:type="dxa"/>
            <w:tcBorders>
              <w:top w:val="single" w:sz="4" w:space="0" w:color="000000"/>
              <w:left w:val="single" w:sz="4" w:space="0" w:color="000000"/>
              <w:bottom w:val="single" w:sz="4" w:space="0" w:color="000000"/>
              <w:right w:val="single" w:sz="4" w:space="0" w:color="000000"/>
            </w:tcBorders>
          </w:tcPr>
          <w:p w:rsidR="00E024A2" w:rsidRPr="00E024A2" w:rsidRDefault="00E024A2" w:rsidP="006D5EB2">
            <w:pPr>
              <w:rPr>
                <w:szCs w:val="22"/>
              </w:rPr>
            </w:pPr>
            <w:r w:rsidRPr="0057795D">
              <w:rPr>
                <w:bCs/>
              </w:rPr>
              <w:t>Implement tax policy reforms that encourage efficient and modern approaches to governance</w:t>
            </w:r>
          </w:p>
        </w:tc>
        <w:tc>
          <w:tcPr>
            <w:tcW w:w="1622" w:type="dxa"/>
            <w:tcBorders>
              <w:top w:val="single" w:sz="4" w:space="0" w:color="000000"/>
              <w:left w:val="single" w:sz="4" w:space="0" w:color="000000"/>
              <w:bottom w:val="single" w:sz="4" w:space="0" w:color="000000"/>
              <w:right w:val="single" w:sz="4" w:space="0" w:color="000000"/>
            </w:tcBorders>
          </w:tcPr>
          <w:p w:rsidR="00E024A2" w:rsidRPr="006D5EB2" w:rsidRDefault="00E024A2" w:rsidP="006D5EB2">
            <w:pPr>
              <w:rPr>
                <w:szCs w:val="22"/>
              </w:rPr>
            </w:pPr>
            <w:r>
              <w:rPr>
                <w:szCs w:val="22"/>
              </w:rPr>
              <w:t>State</w:t>
            </w:r>
            <w:r w:rsidRPr="006D5EB2">
              <w:rPr>
                <w:szCs w:val="22"/>
              </w:rPr>
              <w:br/>
            </w:r>
          </w:p>
        </w:tc>
        <w:tc>
          <w:tcPr>
            <w:tcW w:w="3316" w:type="dxa"/>
            <w:tcBorders>
              <w:top w:val="single" w:sz="4" w:space="0" w:color="000000"/>
              <w:left w:val="single" w:sz="4" w:space="0" w:color="000000"/>
              <w:bottom w:val="single" w:sz="4" w:space="0" w:color="000000"/>
              <w:right w:val="single" w:sz="4" w:space="0" w:color="000000"/>
            </w:tcBorders>
          </w:tcPr>
          <w:p w:rsidR="00E024A2" w:rsidRPr="006D5EB2" w:rsidRDefault="00E024A2" w:rsidP="006D5EB2">
            <w:pPr>
              <w:rPr>
                <w:szCs w:val="22"/>
              </w:rPr>
            </w:pPr>
            <w:r w:rsidRPr="00234800">
              <w:t xml:space="preserve">The tax system should reflect the region’s demographics and needs, as well as encourage local governments to consolidate or share services when appropriate.  Outmoded aspects of the State’s tax system, such as allocating personal property replacement tax revenue to local governments using a method based on the structure of local taxes and the economy in the late </w:t>
            </w:r>
            <w:proofErr w:type="gramStart"/>
            <w:r w:rsidRPr="00234800">
              <w:t>1970s,</w:t>
            </w:r>
            <w:proofErr w:type="gramEnd"/>
            <w:r w:rsidRPr="00234800">
              <w:t xml:space="preserve"> should be reformed.  Barriers in the tax system that make it difficult for local governments to consolidate or share services should be removed. </w:t>
            </w:r>
          </w:p>
        </w:tc>
        <w:tc>
          <w:tcPr>
            <w:tcW w:w="2427" w:type="dxa"/>
            <w:tcBorders>
              <w:top w:val="single" w:sz="4" w:space="0" w:color="000000"/>
              <w:left w:val="single" w:sz="4" w:space="0" w:color="000000"/>
              <w:bottom w:val="single" w:sz="4" w:space="0" w:color="000000"/>
              <w:right w:val="single" w:sz="4" w:space="0" w:color="000000"/>
            </w:tcBorders>
          </w:tcPr>
          <w:p w:rsidR="00E024A2" w:rsidRPr="006D5EB2" w:rsidRDefault="00E024A2" w:rsidP="006D5EB2">
            <w:pPr>
              <w:rPr>
                <w:szCs w:val="22"/>
              </w:rPr>
            </w:pPr>
            <w:r>
              <w:rPr>
                <w:szCs w:val="22"/>
              </w:rPr>
              <w:t xml:space="preserve">This is a potential new implementation action to build off the </w:t>
            </w:r>
            <w:r w:rsidR="003A4591">
              <w:rPr>
                <w:szCs w:val="22"/>
              </w:rPr>
              <w:t xml:space="preserve">recommendations of the </w:t>
            </w:r>
            <w:r>
              <w:rPr>
                <w:szCs w:val="22"/>
              </w:rPr>
              <w:t>Regional Tax Policy Task Force.</w:t>
            </w:r>
          </w:p>
        </w:tc>
      </w:tr>
    </w:tbl>
    <w:p w:rsidR="00E024A2" w:rsidRDefault="00E024A2" w:rsidP="000B6283">
      <w:pPr>
        <w:rPr>
          <w:b/>
        </w:rPr>
      </w:pPr>
    </w:p>
    <w:p w:rsidR="00E024A2" w:rsidRDefault="00E024A2" w:rsidP="0057795D">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8"/>
        <w:gridCol w:w="1657"/>
        <w:gridCol w:w="3303"/>
        <w:gridCol w:w="2418"/>
      </w:tblGrid>
      <w:tr w:rsidR="003A4591" w:rsidRPr="00877A9E" w:rsidTr="006D5EB2">
        <w:trPr>
          <w:jc w:val="center"/>
        </w:trPr>
        <w:tc>
          <w:tcPr>
            <w:tcW w:w="2211" w:type="dxa"/>
            <w:tcBorders>
              <w:top w:val="single" w:sz="4" w:space="0" w:color="000000"/>
              <w:left w:val="single" w:sz="4" w:space="0" w:color="000000"/>
              <w:bottom w:val="single" w:sz="4" w:space="0" w:color="000000"/>
              <w:right w:val="single" w:sz="4" w:space="0" w:color="000000"/>
            </w:tcBorders>
          </w:tcPr>
          <w:p w:rsidR="00E024A2" w:rsidRPr="006D5EB2" w:rsidRDefault="00E024A2" w:rsidP="006D5EB2">
            <w:pPr>
              <w:rPr>
                <w:b/>
                <w:szCs w:val="22"/>
              </w:rPr>
            </w:pPr>
            <w:r w:rsidRPr="006D5EB2">
              <w:rPr>
                <w:b/>
                <w:szCs w:val="22"/>
              </w:rPr>
              <w:lastRenderedPageBreak/>
              <w:t>Action</w:t>
            </w:r>
          </w:p>
        </w:tc>
        <w:tc>
          <w:tcPr>
            <w:tcW w:w="1622" w:type="dxa"/>
            <w:tcBorders>
              <w:top w:val="single" w:sz="4" w:space="0" w:color="000000"/>
              <w:left w:val="single" w:sz="4" w:space="0" w:color="000000"/>
              <w:bottom w:val="single" w:sz="4" w:space="0" w:color="000000"/>
              <w:right w:val="single" w:sz="4" w:space="0" w:color="000000"/>
            </w:tcBorders>
          </w:tcPr>
          <w:p w:rsidR="00E024A2" w:rsidRPr="006D5EB2" w:rsidRDefault="00E024A2" w:rsidP="006D5EB2">
            <w:pPr>
              <w:rPr>
                <w:b/>
                <w:szCs w:val="22"/>
              </w:rPr>
            </w:pPr>
            <w:r w:rsidRPr="006D5EB2">
              <w:rPr>
                <w:b/>
                <w:szCs w:val="22"/>
              </w:rPr>
              <w:t>Lead Implementers</w:t>
            </w:r>
          </w:p>
        </w:tc>
        <w:tc>
          <w:tcPr>
            <w:tcW w:w="3316" w:type="dxa"/>
            <w:tcBorders>
              <w:top w:val="single" w:sz="4" w:space="0" w:color="000000"/>
              <w:left w:val="single" w:sz="4" w:space="0" w:color="000000"/>
              <w:bottom w:val="single" w:sz="4" w:space="0" w:color="000000"/>
              <w:right w:val="single" w:sz="4" w:space="0" w:color="000000"/>
            </w:tcBorders>
          </w:tcPr>
          <w:p w:rsidR="00E024A2" w:rsidRPr="006D5EB2" w:rsidRDefault="00E024A2" w:rsidP="006D5EB2">
            <w:pPr>
              <w:rPr>
                <w:b/>
                <w:szCs w:val="22"/>
              </w:rPr>
            </w:pPr>
            <w:r w:rsidRPr="006D5EB2">
              <w:rPr>
                <w:b/>
                <w:szCs w:val="22"/>
              </w:rPr>
              <w:t>Specifics</w:t>
            </w:r>
          </w:p>
        </w:tc>
        <w:tc>
          <w:tcPr>
            <w:tcW w:w="2427" w:type="dxa"/>
            <w:tcBorders>
              <w:top w:val="single" w:sz="4" w:space="0" w:color="000000"/>
              <w:left w:val="single" w:sz="4" w:space="0" w:color="000000"/>
              <w:bottom w:val="single" w:sz="4" w:space="0" w:color="000000"/>
              <w:right w:val="single" w:sz="4" w:space="0" w:color="000000"/>
            </w:tcBorders>
          </w:tcPr>
          <w:p w:rsidR="00E024A2" w:rsidRPr="006D5EB2" w:rsidRDefault="00E024A2" w:rsidP="006D5EB2">
            <w:pPr>
              <w:rPr>
                <w:b/>
                <w:szCs w:val="22"/>
              </w:rPr>
            </w:pPr>
            <w:r w:rsidRPr="006D5EB2">
              <w:rPr>
                <w:b/>
                <w:szCs w:val="22"/>
              </w:rPr>
              <w:t>Retain/Revise/</w:t>
            </w:r>
          </w:p>
          <w:p w:rsidR="00E024A2" w:rsidRPr="006D5EB2" w:rsidRDefault="00E024A2" w:rsidP="006D5EB2">
            <w:pPr>
              <w:rPr>
                <w:b/>
                <w:szCs w:val="22"/>
              </w:rPr>
            </w:pPr>
            <w:r w:rsidRPr="006D5EB2">
              <w:rPr>
                <w:b/>
                <w:szCs w:val="22"/>
              </w:rPr>
              <w:t>Complete/Delete</w:t>
            </w:r>
          </w:p>
        </w:tc>
      </w:tr>
      <w:tr w:rsidR="003A4591" w:rsidRPr="00877A9E" w:rsidTr="006D5EB2">
        <w:trPr>
          <w:jc w:val="center"/>
        </w:trPr>
        <w:tc>
          <w:tcPr>
            <w:tcW w:w="2211" w:type="dxa"/>
            <w:tcBorders>
              <w:top w:val="single" w:sz="4" w:space="0" w:color="000000"/>
              <w:left w:val="single" w:sz="4" w:space="0" w:color="000000"/>
              <w:bottom w:val="single" w:sz="4" w:space="0" w:color="000000"/>
              <w:right w:val="single" w:sz="4" w:space="0" w:color="000000"/>
            </w:tcBorders>
          </w:tcPr>
          <w:p w:rsidR="00E024A2" w:rsidRPr="00E024A2" w:rsidRDefault="00E024A2" w:rsidP="006D5EB2">
            <w:pPr>
              <w:rPr>
                <w:szCs w:val="22"/>
              </w:rPr>
            </w:pPr>
            <w:r w:rsidRPr="0057795D">
              <w:rPr>
                <w:bCs/>
              </w:rPr>
              <w:t>Adopt reforms that improve the transparency of the tax system</w:t>
            </w:r>
          </w:p>
        </w:tc>
        <w:tc>
          <w:tcPr>
            <w:tcW w:w="1622" w:type="dxa"/>
            <w:tcBorders>
              <w:top w:val="single" w:sz="4" w:space="0" w:color="000000"/>
              <w:left w:val="single" w:sz="4" w:space="0" w:color="000000"/>
              <w:bottom w:val="single" w:sz="4" w:space="0" w:color="000000"/>
              <w:right w:val="single" w:sz="4" w:space="0" w:color="000000"/>
            </w:tcBorders>
          </w:tcPr>
          <w:p w:rsidR="00E024A2" w:rsidRPr="00E024A2" w:rsidRDefault="00E024A2" w:rsidP="006D5EB2">
            <w:pPr>
              <w:rPr>
                <w:szCs w:val="22"/>
              </w:rPr>
            </w:pPr>
            <w:r w:rsidRPr="0057795D">
              <w:rPr>
                <w:iCs/>
              </w:rPr>
              <w:t>State, counties, townships, municipalities, school districts, special districts</w:t>
            </w:r>
            <w:r w:rsidRPr="00E024A2">
              <w:rPr>
                <w:szCs w:val="22"/>
              </w:rPr>
              <w:br/>
            </w:r>
          </w:p>
        </w:tc>
        <w:tc>
          <w:tcPr>
            <w:tcW w:w="3316" w:type="dxa"/>
            <w:tcBorders>
              <w:top w:val="single" w:sz="4" w:space="0" w:color="000000"/>
              <w:left w:val="single" w:sz="4" w:space="0" w:color="000000"/>
              <w:bottom w:val="single" w:sz="4" w:space="0" w:color="000000"/>
              <w:right w:val="single" w:sz="4" w:space="0" w:color="000000"/>
            </w:tcBorders>
          </w:tcPr>
          <w:p w:rsidR="00E024A2" w:rsidRPr="006D5EB2" w:rsidRDefault="00E024A2" w:rsidP="006D5EB2">
            <w:pPr>
              <w:rPr>
                <w:szCs w:val="22"/>
              </w:rPr>
            </w:pPr>
            <w:r w:rsidRPr="00234800">
              <w:t>Taxpayers should have access to recent data on tax revenue and rates, as well as how tax revenue is expended.  This should include tax expenditures, which are devises like tax exemptions and abatements which reduce the amount of revenue that would otherwise be collected.  The State provides some of this data in a publicly-accessible manner, as do many local governments.  However, the State, as well as local governments, should continue to</w:t>
            </w:r>
            <w:r w:rsidR="000F3401">
              <w:t xml:space="preserve"> standardize and</w:t>
            </w:r>
            <w:r w:rsidRPr="00234800">
              <w:t xml:space="preserve"> improve the transparency of taxation and other fiscal data.  </w:t>
            </w:r>
          </w:p>
        </w:tc>
        <w:tc>
          <w:tcPr>
            <w:tcW w:w="2427" w:type="dxa"/>
            <w:tcBorders>
              <w:top w:val="single" w:sz="4" w:space="0" w:color="000000"/>
              <w:left w:val="single" w:sz="4" w:space="0" w:color="000000"/>
              <w:bottom w:val="single" w:sz="4" w:space="0" w:color="000000"/>
              <w:right w:val="single" w:sz="4" w:space="0" w:color="000000"/>
            </w:tcBorders>
          </w:tcPr>
          <w:p w:rsidR="00E024A2" w:rsidRPr="006D5EB2" w:rsidRDefault="00E024A2" w:rsidP="006D5EB2">
            <w:pPr>
              <w:rPr>
                <w:szCs w:val="22"/>
              </w:rPr>
            </w:pPr>
            <w:r>
              <w:rPr>
                <w:szCs w:val="22"/>
              </w:rPr>
              <w:t xml:space="preserve">This is a potential new implementation action to build off the </w:t>
            </w:r>
            <w:r w:rsidR="003A4591">
              <w:rPr>
                <w:szCs w:val="22"/>
              </w:rPr>
              <w:t xml:space="preserve">recommendations of the </w:t>
            </w:r>
            <w:r>
              <w:rPr>
                <w:szCs w:val="22"/>
              </w:rPr>
              <w:t>Regional Tax Policy Task Force.</w:t>
            </w:r>
          </w:p>
        </w:tc>
      </w:tr>
    </w:tbl>
    <w:p w:rsidR="003A4591" w:rsidRDefault="003A4591" w:rsidP="000B6283">
      <w:pPr>
        <w:rPr>
          <w:b/>
        </w:rPr>
      </w:pPr>
    </w:p>
    <w:p w:rsidR="003A4591" w:rsidRDefault="003A4591" w:rsidP="0057795D">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1"/>
        <w:gridCol w:w="1622"/>
        <w:gridCol w:w="3316"/>
        <w:gridCol w:w="2427"/>
      </w:tblGrid>
      <w:tr w:rsidR="003A4591" w:rsidRPr="00877A9E" w:rsidTr="006D5EB2">
        <w:trPr>
          <w:jc w:val="center"/>
        </w:trPr>
        <w:tc>
          <w:tcPr>
            <w:tcW w:w="2211" w:type="dxa"/>
            <w:tcBorders>
              <w:top w:val="single" w:sz="4" w:space="0" w:color="000000"/>
              <w:left w:val="single" w:sz="4" w:space="0" w:color="000000"/>
              <w:bottom w:val="single" w:sz="4" w:space="0" w:color="000000"/>
              <w:right w:val="single" w:sz="4" w:space="0" w:color="000000"/>
            </w:tcBorders>
          </w:tcPr>
          <w:p w:rsidR="003A4591" w:rsidRPr="006D5EB2" w:rsidRDefault="003A4591" w:rsidP="006D5EB2">
            <w:pPr>
              <w:rPr>
                <w:b/>
                <w:szCs w:val="22"/>
              </w:rPr>
            </w:pPr>
            <w:r w:rsidRPr="006D5EB2">
              <w:rPr>
                <w:b/>
                <w:szCs w:val="22"/>
              </w:rPr>
              <w:lastRenderedPageBreak/>
              <w:t>Action</w:t>
            </w:r>
          </w:p>
        </w:tc>
        <w:tc>
          <w:tcPr>
            <w:tcW w:w="1622" w:type="dxa"/>
            <w:tcBorders>
              <w:top w:val="single" w:sz="4" w:space="0" w:color="000000"/>
              <w:left w:val="single" w:sz="4" w:space="0" w:color="000000"/>
              <w:bottom w:val="single" w:sz="4" w:space="0" w:color="000000"/>
              <w:right w:val="single" w:sz="4" w:space="0" w:color="000000"/>
            </w:tcBorders>
          </w:tcPr>
          <w:p w:rsidR="003A4591" w:rsidRPr="006D5EB2" w:rsidRDefault="003A4591" w:rsidP="006D5EB2">
            <w:pPr>
              <w:rPr>
                <w:b/>
                <w:szCs w:val="22"/>
              </w:rPr>
            </w:pPr>
            <w:r w:rsidRPr="006D5EB2">
              <w:rPr>
                <w:b/>
                <w:szCs w:val="22"/>
              </w:rPr>
              <w:t>Lead Implementers</w:t>
            </w:r>
          </w:p>
        </w:tc>
        <w:tc>
          <w:tcPr>
            <w:tcW w:w="3316" w:type="dxa"/>
            <w:tcBorders>
              <w:top w:val="single" w:sz="4" w:space="0" w:color="000000"/>
              <w:left w:val="single" w:sz="4" w:space="0" w:color="000000"/>
              <w:bottom w:val="single" w:sz="4" w:space="0" w:color="000000"/>
              <w:right w:val="single" w:sz="4" w:space="0" w:color="000000"/>
            </w:tcBorders>
          </w:tcPr>
          <w:p w:rsidR="003A4591" w:rsidRPr="006D5EB2" w:rsidRDefault="003A4591" w:rsidP="006D5EB2">
            <w:pPr>
              <w:rPr>
                <w:b/>
                <w:szCs w:val="22"/>
              </w:rPr>
            </w:pPr>
            <w:r w:rsidRPr="006D5EB2">
              <w:rPr>
                <w:b/>
                <w:szCs w:val="22"/>
              </w:rPr>
              <w:t>Specifics</w:t>
            </w:r>
          </w:p>
        </w:tc>
        <w:tc>
          <w:tcPr>
            <w:tcW w:w="2427" w:type="dxa"/>
            <w:tcBorders>
              <w:top w:val="single" w:sz="4" w:space="0" w:color="000000"/>
              <w:left w:val="single" w:sz="4" w:space="0" w:color="000000"/>
              <w:bottom w:val="single" w:sz="4" w:space="0" w:color="000000"/>
              <w:right w:val="single" w:sz="4" w:space="0" w:color="000000"/>
            </w:tcBorders>
          </w:tcPr>
          <w:p w:rsidR="003A4591" w:rsidRPr="006D5EB2" w:rsidRDefault="003A4591" w:rsidP="006D5EB2">
            <w:pPr>
              <w:rPr>
                <w:b/>
                <w:szCs w:val="22"/>
              </w:rPr>
            </w:pPr>
            <w:r w:rsidRPr="006D5EB2">
              <w:rPr>
                <w:b/>
                <w:szCs w:val="22"/>
              </w:rPr>
              <w:t>Retain/Revise/</w:t>
            </w:r>
          </w:p>
          <w:p w:rsidR="003A4591" w:rsidRPr="006D5EB2" w:rsidRDefault="003A4591" w:rsidP="006D5EB2">
            <w:pPr>
              <w:rPr>
                <w:b/>
                <w:szCs w:val="22"/>
              </w:rPr>
            </w:pPr>
            <w:r w:rsidRPr="006D5EB2">
              <w:rPr>
                <w:b/>
                <w:szCs w:val="22"/>
              </w:rPr>
              <w:t>Complete/Delete</w:t>
            </w:r>
          </w:p>
        </w:tc>
      </w:tr>
      <w:tr w:rsidR="003A4591" w:rsidRPr="00877A9E" w:rsidTr="006D5EB2">
        <w:trPr>
          <w:jc w:val="center"/>
        </w:trPr>
        <w:tc>
          <w:tcPr>
            <w:tcW w:w="2211" w:type="dxa"/>
            <w:tcBorders>
              <w:top w:val="single" w:sz="4" w:space="0" w:color="000000"/>
              <w:left w:val="single" w:sz="4" w:space="0" w:color="000000"/>
              <w:bottom w:val="single" w:sz="4" w:space="0" w:color="000000"/>
              <w:right w:val="single" w:sz="4" w:space="0" w:color="000000"/>
            </w:tcBorders>
          </w:tcPr>
          <w:p w:rsidR="003A4591" w:rsidRPr="003A4591" w:rsidRDefault="003A4591" w:rsidP="006D5EB2">
            <w:pPr>
              <w:rPr>
                <w:szCs w:val="22"/>
              </w:rPr>
            </w:pPr>
            <w:r w:rsidRPr="0057795D">
              <w:rPr>
                <w:bCs/>
              </w:rPr>
              <w:t>Enact reforms that phase out Cook County property tax assessment classification</w:t>
            </w:r>
          </w:p>
        </w:tc>
        <w:tc>
          <w:tcPr>
            <w:tcW w:w="1622" w:type="dxa"/>
            <w:tcBorders>
              <w:top w:val="single" w:sz="4" w:space="0" w:color="000000"/>
              <w:left w:val="single" w:sz="4" w:space="0" w:color="000000"/>
              <w:bottom w:val="single" w:sz="4" w:space="0" w:color="000000"/>
              <w:right w:val="single" w:sz="4" w:space="0" w:color="000000"/>
            </w:tcBorders>
          </w:tcPr>
          <w:p w:rsidR="003A4591" w:rsidRPr="006D5EB2" w:rsidRDefault="003A4591" w:rsidP="006D5EB2">
            <w:pPr>
              <w:rPr>
                <w:szCs w:val="22"/>
              </w:rPr>
            </w:pPr>
            <w:r>
              <w:rPr>
                <w:iCs/>
              </w:rPr>
              <w:t>Cook County</w:t>
            </w:r>
            <w:r w:rsidRPr="006D5EB2">
              <w:rPr>
                <w:szCs w:val="22"/>
              </w:rPr>
              <w:br/>
            </w:r>
          </w:p>
        </w:tc>
        <w:tc>
          <w:tcPr>
            <w:tcW w:w="3316" w:type="dxa"/>
            <w:tcBorders>
              <w:top w:val="single" w:sz="4" w:space="0" w:color="000000"/>
              <w:left w:val="single" w:sz="4" w:space="0" w:color="000000"/>
              <w:bottom w:val="single" w:sz="4" w:space="0" w:color="000000"/>
              <w:right w:val="single" w:sz="4" w:space="0" w:color="000000"/>
            </w:tcBorders>
          </w:tcPr>
          <w:p w:rsidR="003A4591" w:rsidRPr="006D5EB2" w:rsidRDefault="003A4591" w:rsidP="006D5EB2">
            <w:pPr>
              <w:rPr>
                <w:szCs w:val="22"/>
              </w:rPr>
            </w:pPr>
            <w:r w:rsidRPr="00234800">
              <w:t>Cook County is the only county in the State that assesses commercial and industrial property at a higher percentage of market value than residential property.  The higher tax burden on businesses in Cook County creates a discontinuity in taxation within the region, which impedes redevelopment of infill land to strengthen existing communities.  The Cook County Board should phase out this regional inconsistency, but over a period of years in order to allow residential taxpayers to adjust to the increased burden</w:t>
            </w:r>
            <w:r>
              <w:t>.</w:t>
            </w:r>
          </w:p>
        </w:tc>
        <w:tc>
          <w:tcPr>
            <w:tcW w:w="2427" w:type="dxa"/>
            <w:tcBorders>
              <w:top w:val="single" w:sz="4" w:space="0" w:color="000000"/>
              <w:left w:val="single" w:sz="4" w:space="0" w:color="000000"/>
              <w:bottom w:val="single" w:sz="4" w:space="0" w:color="000000"/>
              <w:right w:val="single" w:sz="4" w:space="0" w:color="000000"/>
            </w:tcBorders>
          </w:tcPr>
          <w:p w:rsidR="003A4591" w:rsidRPr="006D5EB2" w:rsidRDefault="003A4591">
            <w:pPr>
              <w:rPr>
                <w:szCs w:val="22"/>
              </w:rPr>
            </w:pPr>
            <w:r>
              <w:rPr>
                <w:szCs w:val="22"/>
              </w:rPr>
              <w:t>This is a potential new implementation action to build off the recommendations of the Regional Tax Policy Task Force.</w:t>
            </w:r>
          </w:p>
        </w:tc>
      </w:tr>
    </w:tbl>
    <w:p w:rsidR="003A4591" w:rsidRDefault="003A4591" w:rsidP="000B6283">
      <w:pPr>
        <w:rPr>
          <w:b/>
        </w:rPr>
      </w:pPr>
    </w:p>
    <w:p w:rsidR="003A4591" w:rsidRDefault="003A4591" w:rsidP="0057795D">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1"/>
        <w:gridCol w:w="1622"/>
        <w:gridCol w:w="3316"/>
        <w:gridCol w:w="2427"/>
      </w:tblGrid>
      <w:tr w:rsidR="003A4591" w:rsidRPr="00877A9E" w:rsidTr="006D5EB2">
        <w:trPr>
          <w:jc w:val="center"/>
        </w:trPr>
        <w:tc>
          <w:tcPr>
            <w:tcW w:w="2211" w:type="dxa"/>
            <w:tcBorders>
              <w:top w:val="single" w:sz="4" w:space="0" w:color="000000"/>
              <w:left w:val="single" w:sz="4" w:space="0" w:color="000000"/>
              <w:bottom w:val="single" w:sz="4" w:space="0" w:color="000000"/>
              <w:right w:val="single" w:sz="4" w:space="0" w:color="000000"/>
            </w:tcBorders>
          </w:tcPr>
          <w:p w:rsidR="003A4591" w:rsidRPr="006D5EB2" w:rsidRDefault="003A4591" w:rsidP="006D5EB2">
            <w:pPr>
              <w:rPr>
                <w:b/>
                <w:szCs w:val="22"/>
              </w:rPr>
            </w:pPr>
            <w:r w:rsidRPr="006D5EB2">
              <w:rPr>
                <w:b/>
                <w:szCs w:val="22"/>
              </w:rPr>
              <w:lastRenderedPageBreak/>
              <w:t>Action</w:t>
            </w:r>
          </w:p>
        </w:tc>
        <w:tc>
          <w:tcPr>
            <w:tcW w:w="1622" w:type="dxa"/>
            <w:tcBorders>
              <w:top w:val="single" w:sz="4" w:space="0" w:color="000000"/>
              <w:left w:val="single" w:sz="4" w:space="0" w:color="000000"/>
              <w:bottom w:val="single" w:sz="4" w:space="0" w:color="000000"/>
              <w:right w:val="single" w:sz="4" w:space="0" w:color="000000"/>
            </w:tcBorders>
          </w:tcPr>
          <w:p w:rsidR="003A4591" w:rsidRPr="006D5EB2" w:rsidRDefault="003A4591" w:rsidP="006D5EB2">
            <w:pPr>
              <w:rPr>
                <w:b/>
                <w:szCs w:val="22"/>
              </w:rPr>
            </w:pPr>
            <w:r w:rsidRPr="006D5EB2">
              <w:rPr>
                <w:b/>
                <w:szCs w:val="22"/>
              </w:rPr>
              <w:t>Lead Implementers</w:t>
            </w:r>
          </w:p>
        </w:tc>
        <w:tc>
          <w:tcPr>
            <w:tcW w:w="3316" w:type="dxa"/>
            <w:tcBorders>
              <w:top w:val="single" w:sz="4" w:space="0" w:color="000000"/>
              <w:left w:val="single" w:sz="4" w:space="0" w:color="000000"/>
              <w:bottom w:val="single" w:sz="4" w:space="0" w:color="000000"/>
              <w:right w:val="single" w:sz="4" w:space="0" w:color="000000"/>
            </w:tcBorders>
          </w:tcPr>
          <w:p w:rsidR="003A4591" w:rsidRPr="006D5EB2" w:rsidRDefault="003A4591" w:rsidP="006D5EB2">
            <w:pPr>
              <w:rPr>
                <w:b/>
                <w:szCs w:val="22"/>
              </w:rPr>
            </w:pPr>
            <w:r w:rsidRPr="006D5EB2">
              <w:rPr>
                <w:b/>
                <w:szCs w:val="22"/>
              </w:rPr>
              <w:t>Specifics</w:t>
            </w:r>
          </w:p>
        </w:tc>
        <w:tc>
          <w:tcPr>
            <w:tcW w:w="2427" w:type="dxa"/>
            <w:tcBorders>
              <w:top w:val="single" w:sz="4" w:space="0" w:color="000000"/>
              <w:left w:val="single" w:sz="4" w:space="0" w:color="000000"/>
              <w:bottom w:val="single" w:sz="4" w:space="0" w:color="000000"/>
              <w:right w:val="single" w:sz="4" w:space="0" w:color="000000"/>
            </w:tcBorders>
          </w:tcPr>
          <w:p w:rsidR="003A4591" w:rsidRPr="006D5EB2" w:rsidRDefault="003A4591" w:rsidP="006D5EB2">
            <w:pPr>
              <w:rPr>
                <w:b/>
                <w:szCs w:val="22"/>
              </w:rPr>
            </w:pPr>
            <w:r w:rsidRPr="006D5EB2">
              <w:rPr>
                <w:b/>
                <w:szCs w:val="22"/>
              </w:rPr>
              <w:t>Retain/Revise/</w:t>
            </w:r>
          </w:p>
          <w:p w:rsidR="003A4591" w:rsidRPr="006D5EB2" w:rsidRDefault="003A4591" w:rsidP="006D5EB2">
            <w:pPr>
              <w:rPr>
                <w:b/>
                <w:szCs w:val="22"/>
              </w:rPr>
            </w:pPr>
            <w:r w:rsidRPr="006D5EB2">
              <w:rPr>
                <w:b/>
                <w:szCs w:val="22"/>
              </w:rPr>
              <w:t>Complete/Delete</w:t>
            </w:r>
          </w:p>
        </w:tc>
      </w:tr>
      <w:tr w:rsidR="003A4591" w:rsidRPr="00877A9E" w:rsidTr="006D5EB2">
        <w:trPr>
          <w:jc w:val="center"/>
        </w:trPr>
        <w:tc>
          <w:tcPr>
            <w:tcW w:w="2211" w:type="dxa"/>
            <w:tcBorders>
              <w:top w:val="single" w:sz="4" w:space="0" w:color="000000"/>
              <w:left w:val="single" w:sz="4" w:space="0" w:color="000000"/>
              <w:bottom w:val="single" w:sz="4" w:space="0" w:color="000000"/>
              <w:right w:val="single" w:sz="4" w:space="0" w:color="000000"/>
            </w:tcBorders>
          </w:tcPr>
          <w:p w:rsidR="003A4591" w:rsidRPr="003A4591" w:rsidRDefault="003A4591" w:rsidP="006D5EB2">
            <w:pPr>
              <w:rPr>
                <w:szCs w:val="22"/>
              </w:rPr>
            </w:pPr>
            <w:r w:rsidRPr="0057795D">
              <w:rPr>
                <w:bCs/>
              </w:rPr>
              <w:t>Adopt tax policies that broaden the tax base with a focus on lowering tax rates</w:t>
            </w:r>
          </w:p>
        </w:tc>
        <w:tc>
          <w:tcPr>
            <w:tcW w:w="1622" w:type="dxa"/>
            <w:tcBorders>
              <w:top w:val="single" w:sz="4" w:space="0" w:color="000000"/>
              <w:left w:val="single" w:sz="4" w:space="0" w:color="000000"/>
              <w:bottom w:val="single" w:sz="4" w:space="0" w:color="000000"/>
              <w:right w:val="single" w:sz="4" w:space="0" w:color="000000"/>
            </w:tcBorders>
          </w:tcPr>
          <w:p w:rsidR="003A4591" w:rsidRPr="006D5EB2" w:rsidRDefault="003A4591" w:rsidP="006D5EB2">
            <w:pPr>
              <w:rPr>
                <w:szCs w:val="22"/>
              </w:rPr>
            </w:pPr>
            <w:r>
              <w:rPr>
                <w:iCs/>
              </w:rPr>
              <w:t>State</w:t>
            </w:r>
            <w:r w:rsidRPr="006D5EB2">
              <w:rPr>
                <w:szCs w:val="22"/>
              </w:rPr>
              <w:br/>
            </w:r>
          </w:p>
        </w:tc>
        <w:tc>
          <w:tcPr>
            <w:tcW w:w="3316" w:type="dxa"/>
            <w:tcBorders>
              <w:top w:val="single" w:sz="4" w:space="0" w:color="000000"/>
              <w:left w:val="single" w:sz="4" w:space="0" w:color="000000"/>
              <w:bottom w:val="single" w:sz="4" w:space="0" w:color="000000"/>
              <w:right w:val="single" w:sz="4" w:space="0" w:color="000000"/>
            </w:tcBorders>
          </w:tcPr>
          <w:p w:rsidR="003A4591" w:rsidRPr="006D5EB2" w:rsidRDefault="003A4591" w:rsidP="00D222FB">
            <w:pPr>
              <w:rPr>
                <w:szCs w:val="22"/>
              </w:rPr>
            </w:pPr>
            <w:r w:rsidRPr="00234800">
              <w:t>The State of Illinois should enact tax policy changes that reduce economic distortions, broaden the tax base, and lower rate</w:t>
            </w:r>
            <w:r w:rsidR="00D222FB">
              <w:t>s</w:t>
            </w:r>
            <w:r w:rsidRPr="00234800">
              <w:t>, which would help the region, as well as the State, compete more effectively for economic development opportunities.  Specifically, broadening the state individual income tax base to include federally-taxed retirement income would provide a more stable revenue source as the region’s demographics change.  Likewise, the sales tax base should be broadened to include additional services as a way to respond to changing consumption patterns, with a focus on lowering the region’s high sales tax rates.</w:t>
            </w:r>
          </w:p>
        </w:tc>
        <w:tc>
          <w:tcPr>
            <w:tcW w:w="2427" w:type="dxa"/>
            <w:tcBorders>
              <w:top w:val="single" w:sz="4" w:space="0" w:color="000000"/>
              <w:left w:val="single" w:sz="4" w:space="0" w:color="000000"/>
              <w:bottom w:val="single" w:sz="4" w:space="0" w:color="000000"/>
              <w:right w:val="single" w:sz="4" w:space="0" w:color="000000"/>
            </w:tcBorders>
          </w:tcPr>
          <w:p w:rsidR="003A4591" w:rsidRPr="006D5EB2" w:rsidRDefault="003A4591" w:rsidP="006D5EB2">
            <w:pPr>
              <w:rPr>
                <w:szCs w:val="22"/>
              </w:rPr>
            </w:pPr>
            <w:r>
              <w:rPr>
                <w:szCs w:val="22"/>
              </w:rPr>
              <w:t>This is a potential new implementation action to build off the recommendations of the Regional Tax Policy Task Force.</w:t>
            </w:r>
          </w:p>
        </w:tc>
      </w:tr>
    </w:tbl>
    <w:p w:rsidR="00581AF2" w:rsidRDefault="00581AF2">
      <w:pPr>
        <w:rPr>
          <w:b/>
        </w:rPr>
      </w:pPr>
    </w:p>
    <w:p w:rsidR="00581AF2" w:rsidRDefault="00581AF2" w:rsidP="0057795D">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2"/>
        <w:gridCol w:w="1657"/>
        <w:gridCol w:w="3296"/>
        <w:gridCol w:w="2421"/>
      </w:tblGrid>
      <w:tr w:rsidR="00581AF2" w:rsidRPr="00877A9E" w:rsidTr="006F4F75">
        <w:trPr>
          <w:jc w:val="center"/>
        </w:trPr>
        <w:tc>
          <w:tcPr>
            <w:tcW w:w="2211" w:type="dxa"/>
            <w:tcBorders>
              <w:top w:val="single" w:sz="4" w:space="0" w:color="000000"/>
              <w:left w:val="single" w:sz="4" w:space="0" w:color="000000"/>
              <w:bottom w:val="single" w:sz="4" w:space="0" w:color="000000"/>
              <w:right w:val="single" w:sz="4" w:space="0" w:color="000000"/>
            </w:tcBorders>
          </w:tcPr>
          <w:p w:rsidR="00581AF2" w:rsidRPr="006D5EB2" w:rsidRDefault="00581AF2" w:rsidP="006F4F75">
            <w:pPr>
              <w:rPr>
                <w:b/>
                <w:szCs w:val="22"/>
              </w:rPr>
            </w:pPr>
            <w:r w:rsidRPr="006D5EB2">
              <w:rPr>
                <w:b/>
                <w:szCs w:val="22"/>
              </w:rPr>
              <w:lastRenderedPageBreak/>
              <w:t>Action</w:t>
            </w:r>
          </w:p>
        </w:tc>
        <w:tc>
          <w:tcPr>
            <w:tcW w:w="1622" w:type="dxa"/>
            <w:tcBorders>
              <w:top w:val="single" w:sz="4" w:space="0" w:color="000000"/>
              <w:left w:val="single" w:sz="4" w:space="0" w:color="000000"/>
              <w:bottom w:val="single" w:sz="4" w:space="0" w:color="000000"/>
              <w:right w:val="single" w:sz="4" w:space="0" w:color="000000"/>
            </w:tcBorders>
          </w:tcPr>
          <w:p w:rsidR="00581AF2" w:rsidRPr="006D5EB2" w:rsidRDefault="00581AF2" w:rsidP="006F4F75">
            <w:pPr>
              <w:rPr>
                <w:b/>
                <w:szCs w:val="22"/>
              </w:rPr>
            </w:pPr>
            <w:r w:rsidRPr="006D5EB2">
              <w:rPr>
                <w:b/>
                <w:szCs w:val="22"/>
              </w:rPr>
              <w:t>Lead Implementers</w:t>
            </w:r>
          </w:p>
        </w:tc>
        <w:tc>
          <w:tcPr>
            <w:tcW w:w="3316" w:type="dxa"/>
            <w:tcBorders>
              <w:top w:val="single" w:sz="4" w:space="0" w:color="000000"/>
              <w:left w:val="single" w:sz="4" w:space="0" w:color="000000"/>
              <w:bottom w:val="single" w:sz="4" w:space="0" w:color="000000"/>
              <w:right w:val="single" w:sz="4" w:space="0" w:color="000000"/>
            </w:tcBorders>
          </w:tcPr>
          <w:p w:rsidR="00581AF2" w:rsidRPr="006D5EB2" w:rsidRDefault="00581AF2" w:rsidP="006F4F75">
            <w:pPr>
              <w:rPr>
                <w:b/>
                <w:szCs w:val="22"/>
              </w:rPr>
            </w:pPr>
            <w:r w:rsidRPr="006D5EB2">
              <w:rPr>
                <w:b/>
                <w:szCs w:val="22"/>
              </w:rPr>
              <w:t>Specifics</w:t>
            </w:r>
          </w:p>
        </w:tc>
        <w:tc>
          <w:tcPr>
            <w:tcW w:w="2427" w:type="dxa"/>
            <w:tcBorders>
              <w:top w:val="single" w:sz="4" w:space="0" w:color="000000"/>
              <w:left w:val="single" w:sz="4" w:space="0" w:color="000000"/>
              <w:bottom w:val="single" w:sz="4" w:space="0" w:color="000000"/>
              <w:right w:val="single" w:sz="4" w:space="0" w:color="000000"/>
            </w:tcBorders>
          </w:tcPr>
          <w:p w:rsidR="00581AF2" w:rsidRPr="006D5EB2" w:rsidRDefault="00581AF2" w:rsidP="006F4F75">
            <w:pPr>
              <w:rPr>
                <w:b/>
                <w:szCs w:val="22"/>
              </w:rPr>
            </w:pPr>
            <w:r w:rsidRPr="006D5EB2">
              <w:rPr>
                <w:b/>
                <w:szCs w:val="22"/>
              </w:rPr>
              <w:t>Retain/Revise/</w:t>
            </w:r>
          </w:p>
          <w:p w:rsidR="00581AF2" w:rsidRPr="006D5EB2" w:rsidRDefault="00581AF2" w:rsidP="006F4F75">
            <w:pPr>
              <w:rPr>
                <w:b/>
                <w:szCs w:val="22"/>
              </w:rPr>
            </w:pPr>
            <w:r w:rsidRPr="006D5EB2">
              <w:rPr>
                <w:b/>
                <w:szCs w:val="22"/>
              </w:rPr>
              <w:t>Complete/Delete</w:t>
            </w:r>
          </w:p>
        </w:tc>
      </w:tr>
      <w:tr w:rsidR="00581AF2" w:rsidRPr="00877A9E" w:rsidTr="006F4F75">
        <w:trPr>
          <w:jc w:val="center"/>
        </w:trPr>
        <w:tc>
          <w:tcPr>
            <w:tcW w:w="2211" w:type="dxa"/>
            <w:tcBorders>
              <w:top w:val="single" w:sz="4" w:space="0" w:color="000000"/>
              <w:left w:val="single" w:sz="4" w:space="0" w:color="000000"/>
              <w:bottom w:val="single" w:sz="4" w:space="0" w:color="000000"/>
              <w:right w:val="single" w:sz="4" w:space="0" w:color="000000"/>
            </w:tcBorders>
          </w:tcPr>
          <w:p w:rsidR="00581AF2" w:rsidRPr="003A4591" w:rsidRDefault="00581AF2" w:rsidP="007A4062">
            <w:pPr>
              <w:rPr>
                <w:szCs w:val="22"/>
              </w:rPr>
            </w:pPr>
            <w:r>
              <w:rPr>
                <w:szCs w:val="22"/>
              </w:rPr>
              <w:t xml:space="preserve">Evaluate state and local </w:t>
            </w:r>
            <w:r w:rsidR="007A4062">
              <w:rPr>
                <w:szCs w:val="22"/>
              </w:rPr>
              <w:t>economic development</w:t>
            </w:r>
            <w:r>
              <w:rPr>
                <w:szCs w:val="22"/>
              </w:rPr>
              <w:t xml:space="preserve"> incentives</w:t>
            </w:r>
          </w:p>
        </w:tc>
        <w:tc>
          <w:tcPr>
            <w:tcW w:w="1622" w:type="dxa"/>
            <w:tcBorders>
              <w:top w:val="single" w:sz="4" w:space="0" w:color="000000"/>
              <w:left w:val="single" w:sz="4" w:space="0" w:color="000000"/>
              <w:bottom w:val="single" w:sz="4" w:space="0" w:color="000000"/>
              <w:right w:val="single" w:sz="4" w:space="0" w:color="000000"/>
            </w:tcBorders>
          </w:tcPr>
          <w:p w:rsidR="00581AF2" w:rsidRPr="006D5EB2" w:rsidRDefault="00581AF2" w:rsidP="00DF2167">
            <w:pPr>
              <w:rPr>
                <w:szCs w:val="22"/>
              </w:rPr>
            </w:pPr>
            <w:r>
              <w:rPr>
                <w:iCs/>
              </w:rPr>
              <w:t>State</w:t>
            </w:r>
            <w:r w:rsidR="00C30FD2">
              <w:rPr>
                <w:iCs/>
              </w:rPr>
              <w:t>, counties, municipalities</w:t>
            </w:r>
            <w:r w:rsidR="007A4062">
              <w:rPr>
                <w:iCs/>
              </w:rPr>
              <w:t>, o</w:t>
            </w:r>
            <w:r w:rsidR="00DF2167">
              <w:rPr>
                <w:iCs/>
              </w:rPr>
              <w:t>ther units of local government</w:t>
            </w:r>
            <w:r w:rsidRPr="006D5EB2">
              <w:rPr>
                <w:szCs w:val="22"/>
              </w:rPr>
              <w:br/>
            </w:r>
          </w:p>
        </w:tc>
        <w:tc>
          <w:tcPr>
            <w:tcW w:w="3316" w:type="dxa"/>
            <w:tcBorders>
              <w:top w:val="single" w:sz="4" w:space="0" w:color="000000"/>
              <w:left w:val="single" w:sz="4" w:space="0" w:color="000000"/>
              <w:bottom w:val="single" w:sz="4" w:space="0" w:color="000000"/>
              <w:right w:val="single" w:sz="4" w:space="0" w:color="000000"/>
            </w:tcBorders>
          </w:tcPr>
          <w:p w:rsidR="00581AF2" w:rsidRPr="006D5EB2" w:rsidRDefault="00581AF2" w:rsidP="007A4062">
            <w:pPr>
              <w:rPr>
                <w:szCs w:val="22"/>
              </w:rPr>
            </w:pPr>
            <w:r>
              <w:rPr>
                <w:szCs w:val="22"/>
              </w:rPr>
              <w:t>State and local governments widely use numerous tax incentives to attract and retain businesses</w:t>
            </w:r>
            <w:r w:rsidR="007A4062">
              <w:rPr>
                <w:szCs w:val="22"/>
              </w:rPr>
              <w:t xml:space="preserve"> and developments</w:t>
            </w:r>
            <w:r>
              <w:rPr>
                <w:szCs w:val="22"/>
              </w:rPr>
              <w:t>.  The impact of these tools should be evaluated for their consistency with GO TO 2040’s goals of an efficient, equitable, and transparent</w:t>
            </w:r>
            <w:r w:rsidR="007A4062">
              <w:rPr>
                <w:szCs w:val="22"/>
              </w:rPr>
              <w:t xml:space="preserve"> tax system, as well as redevelopment goals.</w:t>
            </w:r>
          </w:p>
        </w:tc>
        <w:tc>
          <w:tcPr>
            <w:tcW w:w="2427" w:type="dxa"/>
            <w:tcBorders>
              <w:top w:val="single" w:sz="4" w:space="0" w:color="000000"/>
              <w:left w:val="single" w:sz="4" w:space="0" w:color="000000"/>
              <w:bottom w:val="single" w:sz="4" w:space="0" w:color="000000"/>
              <w:right w:val="single" w:sz="4" w:space="0" w:color="000000"/>
            </w:tcBorders>
          </w:tcPr>
          <w:p w:rsidR="00581AF2" w:rsidRPr="006D5EB2" w:rsidRDefault="00581AF2" w:rsidP="006F4F75">
            <w:pPr>
              <w:rPr>
                <w:szCs w:val="22"/>
              </w:rPr>
            </w:pPr>
            <w:r>
              <w:rPr>
                <w:szCs w:val="22"/>
              </w:rPr>
              <w:t>This is a potential new implementation action to build off the recommendations of the Regional Tax Policy Task Force.</w:t>
            </w:r>
          </w:p>
        </w:tc>
      </w:tr>
    </w:tbl>
    <w:p w:rsidR="004E2850" w:rsidRPr="0057795D" w:rsidRDefault="004E2850" w:rsidP="0057795D">
      <w:pPr>
        <w:rPr>
          <w:b/>
        </w:rPr>
      </w:pPr>
    </w:p>
    <w:sectPr w:rsidR="004E2850" w:rsidRPr="0057795D" w:rsidSect="0073271F">
      <w:headerReference w:type="default" r:id="rId10"/>
      <w:foot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815" w:rsidRDefault="00E25815" w:rsidP="00E25815">
      <w:r>
        <w:separator/>
      </w:r>
    </w:p>
  </w:endnote>
  <w:endnote w:type="continuationSeparator" w:id="0">
    <w:p w:rsidR="00E25815" w:rsidRDefault="00E25815" w:rsidP="00E2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579900"/>
      <w:docPartObj>
        <w:docPartGallery w:val="Page Numbers (Bottom of Page)"/>
        <w:docPartUnique/>
      </w:docPartObj>
    </w:sdtPr>
    <w:sdtEndPr/>
    <w:sdtContent>
      <w:sdt>
        <w:sdtPr>
          <w:id w:val="-1669238322"/>
          <w:docPartObj>
            <w:docPartGallery w:val="Page Numbers (Top of Page)"/>
            <w:docPartUnique/>
          </w:docPartObj>
        </w:sdtPr>
        <w:sdtEndPr/>
        <w:sdtContent>
          <w:p w:rsidR="00E25815" w:rsidRDefault="00E25815">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3E5493">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3E5493">
              <w:rPr>
                <w:b/>
                <w:bCs/>
                <w:noProof/>
              </w:rPr>
              <w:t>13</w:t>
            </w:r>
            <w:r>
              <w:rPr>
                <w:b/>
                <w:bCs/>
                <w:sz w:val="24"/>
              </w:rPr>
              <w:fldChar w:fldCharType="end"/>
            </w:r>
          </w:p>
        </w:sdtContent>
      </w:sdt>
    </w:sdtContent>
  </w:sdt>
  <w:p w:rsidR="00E25815" w:rsidRDefault="00E25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815" w:rsidRDefault="00E25815" w:rsidP="00E25815">
      <w:r>
        <w:separator/>
      </w:r>
    </w:p>
  </w:footnote>
  <w:footnote w:type="continuationSeparator" w:id="0">
    <w:p w:rsidR="00E25815" w:rsidRDefault="00E25815" w:rsidP="00E25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165209"/>
      <w:docPartObj>
        <w:docPartGallery w:val="Watermarks"/>
        <w:docPartUnique/>
      </w:docPartObj>
    </w:sdtPr>
    <w:sdtEndPr/>
    <w:sdtContent>
      <w:p w:rsidR="00E616B6" w:rsidRDefault="003E549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967F4"/>
    <w:multiLevelType w:val="hybridMultilevel"/>
    <w:tmpl w:val="BC58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678F7"/>
    <w:multiLevelType w:val="hybridMultilevel"/>
    <w:tmpl w:val="D1F4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5E"/>
    <w:rsid w:val="000B6283"/>
    <w:rsid w:val="000F3401"/>
    <w:rsid w:val="00197AA7"/>
    <w:rsid w:val="002B5C32"/>
    <w:rsid w:val="0030233F"/>
    <w:rsid w:val="003438FF"/>
    <w:rsid w:val="003911E1"/>
    <w:rsid w:val="003A4591"/>
    <w:rsid w:val="003E5493"/>
    <w:rsid w:val="004B488B"/>
    <w:rsid w:val="004E2850"/>
    <w:rsid w:val="004E6C22"/>
    <w:rsid w:val="005652A1"/>
    <w:rsid w:val="0057795D"/>
    <w:rsid w:val="00581AF2"/>
    <w:rsid w:val="00645EDD"/>
    <w:rsid w:val="00665CE0"/>
    <w:rsid w:val="0073271F"/>
    <w:rsid w:val="007A4062"/>
    <w:rsid w:val="007B1C7A"/>
    <w:rsid w:val="007F06A8"/>
    <w:rsid w:val="00856169"/>
    <w:rsid w:val="0086194E"/>
    <w:rsid w:val="0086495E"/>
    <w:rsid w:val="008738F7"/>
    <w:rsid w:val="008872D2"/>
    <w:rsid w:val="00A4122B"/>
    <w:rsid w:val="00B14966"/>
    <w:rsid w:val="00B22CCC"/>
    <w:rsid w:val="00BB4F11"/>
    <w:rsid w:val="00BC7AA7"/>
    <w:rsid w:val="00C30FD2"/>
    <w:rsid w:val="00C640B9"/>
    <w:rsid w:val="00D222FB"/>
    <w:rsid w:val="00D27892"/>
    <w:rsid w:val="00D3733A"/>
    <w:rsid w:val="00D55DA7"/>
    <w:rsid w:val="00DE6FCF"/>
    <w:rsid w:val="00DF2167"/>
    <w:rsid w:val="00DF4888"/>
    <w:rsid w:val="00E024A2"/>
    <w:rsid w:val="00E25815"/>
    <w:rsid w:val="00E616B6"/>
    <w:rsid w:val="00F9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95E"/>
    <w:pPr>
      <w:spacing w:after="0" w:line="240" w:lineRule="auto"/>
    </w:pPr>
    <w:rPr>
      <w:rFonts w:ascii="Palatino Linotype" w:eastAsia="Times New Roman" w:hAnsi="Palatino Linotype" w:cs="Times New Roman"/>
      <w:szCs w:val="24"/>
    </w:rPr>
  </w:style>
  <w:style w:type="paragraph" w:styleId="Heading1">
    <w:name w:val="heading 1"/>
    <w:basedOn w:val="Normal"/>
    <w:next w:val="Normal"/>
    <w:link w:val="Heading1Char"/>
    <w:uiPriority w:val="9"/>
    <w:qFormat/>
    <w:rsid w:val="00BC7AA7"/>
    <w:pPr>
      <w:keepNext/>
      <w:keepLines/>
      <w:spacing w:before="480"/>
      <w:outlineLvl w:val="0"/>
    </w:pPr>
    <w:rPr>
      <w:rFonts w:ascii="Arial" w:eastAsiaTheme="majorEastAsia" w:hAnsi="Arial" w:cs="Arial"/>
      <w:b/>
      <w:bCs/>
      <w:sz w:val="32"/>
      <w:szCs w:val="32"/>
    </w:rPr>
  </w:style>
  <w:style w:type="paragraph" w:styleId="Heading2">
    <w:name w:val="heading 2"/>
    <w:basedOn w:val="Heading1"/>
    <w:next w:val="Normal"/>
    <w:link w:val="Heading2Char"/>
    <w:uiPriority w:val="9"/>
    <w:unhideWhenUsed/>
    <w:qFormat/>
    <w:rsid w:val="00BC7AA7"/>
    <w:pPr>
      <w:outlineLvl w:val="1"/>
    </w:pPr>
    <w:rPr>
      <w:sz w:val="28"/>
    </w:rPr>
  </w:style>
  <w:style w:type="paragraph" w:styleId="Heading3">
    <w:name w:val="heading 3"/>
    <w:basedOn w:val="Normal"/>
    <w:next w:val="Normal"/>
    <w:link w:val="Heading3Char"/>
    <w:uiPriority w:val="9"/>
    <w:unhideWhenUsed/>
    <w:qFormat/>
    <w:rsid w:val="00BC7AA7"/>
    <w:pPr>
      <w:keepNext/>
      <w:keepLines/>
      <w:spacing w:before="200"/>
      <w:outlineLvl w:val="2"/>
    </w:pPr>
    <w:rPr>
      <w:rFonts w:ascii="Arial" w:eastAsiaTheme="majorEastAsia" w:hAnsi="Arial" w:cs="Arial"/>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AA7"/>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BC7AA7"/>
    <w:rPr>
      <w:rFonts w:ascii="Arial" w:eastAsiaTheme="majorEastAsia" w:hAnsi="Arial" w:cs="Arial"/>
      <w:b/>
      <w:bCs/>
      <w:sz w:val="28"/>
      <w:szCs w:val="32"/>
    </w:rPr>
  </w:style>
  <w:style w:type="paragraph" w:styleId="Title">
    <w:name w:val="Title"/>
    <w:basedOn w:val="Normal"/>
    <w:next w:val="Normal"/>
    <w:link w:val="TitleChar"/>
    <w:uiPriority w:val="10"/>
    <w:qFormat/>
    <w:rsid w:val="00BC7AA7"/>
    <w:pP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BC7AA7"/>
    <w:rPr>
      <w:rFonts w:ascii="Arial" w:eastAsiaTheme="majorEastAsia" w:hAnsi="Arial" w:cstheme="majorBidi"/>
      <w:spacing w:val="5"/>
      <w:kern w:val="28"/>
      <w:sz w:val="52"/>
      <w:szCs w:val="52"/>
    </w:rPr>
  </w:style>
  <w:style w:type="character" w:customStyle="1" w:styleId="Heading3Char">
    <w:name w:val="Heading 3 Char"/>
    <w:basedOn w:val="DefaultParagraphFont"/>
    <w:link w:val="Heading3"/>
    <w:uiPriority w:val="9"/>
    <w:rsid w:val="00BC7AA7"/>
    <w:rPr>
      <w:rFonts w:ascii="Arial" w:eastAsiaTheme="majorEastAsia" w:hAnsi="Arial" w:cs="Arial"/>
      <w:b/>
      <w:bCs/>
      <w:i/>
    </w:rPr>
  </w:style>
  <w:style w:type="paragraph" w:styleId="ListParagraph">
    <w:name w:val="List Paragraph"/>
    <w:basedOn w:val="Normal"/>
    <w:uiPriority w:val="34"/>
    <w:qFormat/>
    <w:rsid w:val="00A4122B"/>
    <w:pPr>
      <w:ind w:left="720"/>
    </w:pPr>
    <w:rPr>
      <w:rFonts w:eastAsiaTheme="minorHAnsi" w:cstheme="minorBidi"/>
      <w:szCs w:val="22"/>
    </w:rPr>
  </w:style>
  <w:style w:type="character" w:styleId="Hyperlink">
    <w:name w:val="Hyperlink"/>
    <w:uiPriority w:val="99"/>
    <w:rsid w:val="0086495E"/>
    <w:rPr>
      <w:rFonts w:ascii="Palatino Linotype" w:hAnsi="Palatino Linotype"/>
      <w:color w:val="0000FF"/>
      <w:sz w:val="22"/>
      <w:u w:val="single"/>
    </w:rPr>
  </w:style>
  <w:style w:type="paragraph" w:styleId="Header">
    <w:name w:val="header"/>
    <w:basedOn w:val="Normal"/>
    <w:link w:val="HeaderChar"/>
    <w:uiPriority w:val="99"/>
    <w:unhideWhenUsed/>
    <w:rsid w:val="00E25815"/>
    <w:pPr>
      <w:tabs>
        <w:tab w:val="center" w:pos="4680"/>
        <w:tab w:val="right" w:pos="9360"/>
      </w:tabs>
    </w:pPr>
  </w:style>
  <w:style w:type="character" w:customStyle="1" w:styleId="HeaderChar">
    <w:name w:val="Header Char"/>
    <w:basedOn w:val="DefaultParagraphFont"/>
    <w:link w:val="Header"/>
    <w:uiPriority w:val="99"/>
    <w:rsid w:val="00E25815"/>
    <w:rPr>
      <w:rFonts w:ascii="Palatino Linotype" w:eastAsia="Times New Roman" w:hAnsi="Palatino Linotype" w:cs="Times New Roman"/>
      <w:szCs w:val="24"/>
    </w:rPr>
  </w:style>
  <w:style w:type="paragraph" w:styleId="Footer">
    <w:name w:val="footer"/>
    <w:basedOn w:val="Normal"/>
    <w:link w:val="FooterChar"/>
    <w:uiPriority w:val="99"/>
    <w:unhideWhenUsed/>
    <w:rsid w:val="00E25815"/>
    <w:pPr>
      <w:tabs>
        <w:tab w:val="center" w:pos="4680"/>
        <w:tab w:val="right" w:pos="9360"/>
      </w:tabs>
    </w:pPr>
  </w:style>
  <w:style w:type="character" w:customStyle="1" w:styleId="FooterChar">
    <w:name w:val="Footer Char"/>
    <w:basedOn w:val="DefaultParagraphFont"/>
    <w:link w:val="Footer"/>
    <w:uiPriority w:val="99"/>
    <w:rsid w:val="00E25815"/>
    <w:rPr>
      <w:rFonts w:ascii="Palatino Linotype" w:eastAsia="Times New Roman" w:hAnsi="Palatino Linotype" w:cs="Times New Roman"/>
      <w:szCs w:val="24"/>
    </w:rPr>
  </w:style>
  <w:style w:type="paragraph" w:styleId="BalloonText">
    <w:name w:val="Balloon Text"/>
    <w:basedOn w:val="Normal"/>
    <w:link w:val="BalloonTextChar"/>
    <w:uiPriority w:val="99"/>
    <w:semiHidden/>
    <w:unhideWhenUsed/>
    <w:rsid w:val="000B6283"/>
    <w:rPr>
      <w:rFonts w:ascii="Tahoma" w:hAnsi="Tahoma" w:cs="Tahoma"/>
      <w:sz w:val="16"/>
      <w:szCs w:val="16"/>
    </w:rPr>
  </w:style>
  <w:style w:type="character" w:customStyle="1" w:styleId="BalloonTextChar">
    <w:name w:val="Balloon Text Char"/>
    <w:basedOn w:val="DefaultParagraphFont"/>
    <w:link w:val="BalloonText"/>
    <w:uiPriority w:val="99"/>
    <w:semiHidden/>
    <w:rsid w:val="000B628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22CCC"/>
    <w:rPr>
      <w:sz w:val="16"/>
      <w:szCs w:val="16"/>
    </w:rPr>
  </w:style>
  <w:style w:type="paragraph" w:styleId="CommentText">
    <w:name w:val="annotation text"/>
    <w:basedOn w:val="Normal"/>
    <w:link w:val="CommentTextChar"/>
    <w:uiPriority w:val="99"/>
    <w:semiHidden/>
    <w:unhideWhenUsed/>
    <w:rsid w:val="00B22CCC"/>
    <w:rPr>
      <w:sz w:val="20"/>
      <w:szCs w:val="20"/>
    </w:rPr>
  </w:style>
  <w:style w:type="character" w:customStyle="1" w:styleId="CommentTextChar">
    <w:name w:val="Comment Text Char"/>
    <w:basedOn w:val="DefaultParagraphFont"/>
    <w:link w:val="CommentText"/>
    <w:uiPriority w:val="99"/>
    <w:semiHidden/>
    <w:rsid w:val="00B22CCC"/>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B22CCC"/>
    <w:rPr>
      <w:b/>
      <w:bCs/>
    </w:rPr>
  </w:style>
  <w:style w:type="character" w:customStyle="1" w:styleId="CommentSubjectChar">
    <w:name w:val="Comment Subject Char"/>
    <w:basedOn w:val="CommentTextChar"/>
    <w:link w:val="CommentSubject"/>
    <w:uiPriority w:val="99"/>
    <w:semiHidden/>
    <w:rsid w:val="00B22CCC"/>
    <w:rPr>
      <w:rFonts w:ascii="Palatino Linotype" w:eastAsia="Times New Roman" w:hAnsi="Palatino Linotype" w:cs="Times New Roman"/>
      <w:b/>
      <w:bCs/>
      <w:sz w:val="20"/>
      <w:szCs w:val="20"/>
    </w:rPr>
  </w:style>
  <w:style w:type="paragraph" w:styleId="Revision">
    <w:name w:val="Revision"/>
    <w:hidden/>
    <w:uiPriority w:val="99"/>
    <w:semiHidden/>
    <w:rsid w:val="00B22CCC"/>
    <w:pPr>
      <w:spacing w:after="0" w:line="240" w:lineRule="auto"/>
    </w:pPr>
    <w:rPr>
      <w:rFonts w:ascii="Palatino Linotype" w:eastAsia="Times New Roman" w:hAnsi="Palatino Linotyp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95E"/>
    <w:pPr>
      <w:spacing w:after="0" w:line="240" w:lineRule="auto"/>
    </w:pPr>
    <w:rPr>
      <w:rFonts w:ascii="Palatino Linotype" w:eastAsia="Times New Roman" w:hAnsi="Palatino Linotype" w:cs="Times New Roman"/>
      <w:szCs w:val="24"/>
    </w:rPr>
  </w:style>
  <w:style w:type="paragraph" w:styleId="Heading1">
    <w:name w:val="heading 1"/>
    <w:basedOn w:val="Normal"/>
    <w:next w:val="Normal"/>
    <w:link w:val="Heading1Char"/>
    <w:uiPriority w:val="9"/>
    <w:qFormat/>
    <w:rsid w:val="00BC7AA7"/>
    <w:pPr>
      <w:keepNext/>
      <w:keepLines/>
      <w:spacing w:before="480"/>
      <w:outlineLvl w:val="0"/>
    </w:pPr>
    <w:rPr>
      <w:rFonts w:ascii="Arial" w:eastAsiaTheme="majorEastAsia" w:hAnsi="Arial" w:cs="Arial"/>
      <w:b/>
      <w:bCs/>
      <w:sz w:val="32"/>
      <w:szCs w:val="32"/>
    </w:rPr>
  </w:style>
  <w:style w:type="paragraph" w:styleId="Heading2">
    <w:name w:val="heading 2"/>
    <w:basedOn w:val="Heading1"/>
    <w:next w:val="Normal"/>
    <w:link w:val="Heading2Char"/>
    <w:uiPriority w:val="9"/>
    <w:unhideWhenUsed/>
    <w:qFormat/>
    <w:rsid w:val="00BC7AA7"/>
    <w:pPr>
      <w:outlineLvl w:val="1"/>
    </w:pPr>
    <w:rPr>
      <w:sz w:val="28"/>
    </w:rPr>
  </w:style>
  <w:style w:type="paragraph" w:styleId="Heading3">
    <w:name w:val="heading 3"/>
    <w:basedOn w:val="Normal"/>
    <w:next w:val="Normal"/>
    <w:link w:val="Heading3Char"/>
    <w:uiPriority w:val="9"/>
    <w:unhideWhenUsed/>
    <w:qFormat/>
    <w:rsid w:val="00BC7AA7"/>
    <w:pPr>
      <w:keepNext/>
      <w:keepLines/>
      <w:spacing w:before="200"/>
      <w:outlineLvl w:val="2"/>
    </w:pPr>
    <w:rPr>
      <w:rFonts w:ascii="Arial" w:eastAsiaTheme="majorEastAsia" w:hAnsi="Arial" w:cs="Arial"/>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AA7"/>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BC7AA7"/>
    <w:rPr>
      <w:rFonts w:ascii="Arial" w:eastAsiaTheme="majorEastAsia" w:hAnsi="Arial" w:cs="Arial"/>
      <w:b/>
      <w:bCs/>
      <w:sz w:val="28"/>
      <w:szCs w:val="32"/>
    </w:rPr>
  </w:style>
  <w:style w:type="paragraph" w:styleId="Title">
    <w:name w:val="Title"/>
    <w:basedOn w:val="Normal"/>
    <w:next w:val="Normal"/>
    <w:link w:val="TitleChar"/>
    <w:uiPriority w:val="10"/>
    <w:qFormat/>
    <w:rsid w:val="00BC7AA7"/>
    <w:pP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BC7AA7"/>
    <w:rPr>
      <w:rFonts w:ascii="Arial" w:eastAsiaTheme="majorEastAsia" w:hAnsi="Arial" w:cstheme="majorBidi"/>
      <w:spacing w:val="5"/>
      <w:kern w:val="28"/>
      <w:sz w:val="52"/>
      <w:szCs w:val="52"/>
    </w:rPr>
  </w:style>
  <w:style w:type="character" w:customStyle="1" w:styleId="Heading3Char">
    <w:name w:val="Heading 3 Char"/>
    <w:basedOn w:val="DefaultParagraphFont"/>
    <w:link w:val="Heading3"/>
    <w:uiPriority w:val="9"/>
    <w:rsid w:val="00BC7AA7"/>
    <w:rPr>
      <w:rFonts w:ascii="Arial" w:eastAsiaTheme="majorEastAsia" w:hAnsi="Arial" w:cs="Arial"/>
      <w:b/>
      <w:bCs/>
      <w:i/>
    </w:rPr>
  </w:style>
  <w:style w:type="paragraph" w:styleId="ListParagraph">
    <w:name w:val="List Paragraph"/>
    <w:basedOn w:val="Normal"/>
    <w:uiPriority w:val="34"/>
    <w:qFormat/>
    <w:rsid w:val="00A4122B"/>
    <w:pPr>
      <w:ind w:left="720"/>
    </w:pPr>
    <w:rPr>
      <w:rFonts w:eastAsiaTheme="minorHAnsi" w:cstheme="minorBidi"/>
      <w:szCs w:val="22"/>
    </w:rPr>
  </w:style>
  <w:style w:type="character" w:styleId="Hyperlink">
    <w:name w:val="Hyperlink"/>
    <w:uiPriority w:val="99"/>
    <w:rsid w:val="0086495E"/>
    <w:rPr>
      <w:rFonts w:ascii="Palatino Linotype" w:hAnsi="Palatino Linotype"/>
      <w:color w:val="0000FF"/>
      <w:sz w:val="22"/>
      <w:u w:val="single"/>
    </w:rPr>
  </w:style>
  <w:style w:type="paragraph" w:styleId="Header">
    <w:name w:val="header"/>
    <w:basedOn w:val="Normal"/>
    <w:link w:val="HeaderChar"/>
    <w:uiPriority w:val="99"/>
    <w:unhideWhenUsed/>
    <w:rsid w:val="00E25815"/>
    <w:pPr>
      <w:tabs>
        <w:tab w:val="center" w:pos="4680"/>
        <w:tab w:val="right" w:pos="9360"/>
      </w:tabs>
    </w:pPr>
  </w:style>
  <w:style w:type="character" w:customStyle="1" w:styleId="HeaderChar">
    <w:name w:val="Header Char"/>
    <w:basedOn w:val="DefaultParagraphFont"/>
    <w:link w:val="Header"/>
    <w:uiPriority w:val="99"/>
    <w:rsid w:val="00E25815"/>
    <w:rPr>
      <w:rFonts w:ascii="Palatino Linotype" w:eastAsia="Times New Roman" w:hAnsi="Palatino Linotype" w:cs="Times New Roman"/>
      <w:szCs w:val="24"/>
    </w:rPr>
  </w:style>
  <w:style w:type="paragraph" w:styleId="Footer">
    <w:name w:val="footer"/>
    <w:basedOn w:val="Normal"/>
    <w:link w:val="FooterChar"/>
    <w:uiPriority w:val="99"/>
    <w:unhideWhenUsed/>
    <w:rsid w:val="00E25815"/>
    <w:pPr>
      <w:tabs>
        <w:tab w:val="center" w:pos="4680"/>
        <w:tab w:val="right" w:pos="9360"/>
      </w:tabs>
    </w:pPr>
  </w:style>
  <w:style w:type="character" w:customStyle="1" w:styleId="FooterChar">
    <w:name w:val="Footer Char"/>
    <w:basedOn w:val="DefaultParagraphFont"/>
    <w:link w:val="Footer"/>
    <w:uiPriority w:val="99"/>
    <w:rsid w:val="00E25815"/>
    <w:rPr>
      <w:rFonts w:ascii="Palatino Linotype" w:eastAsia="Times New Roman" w:hAnsi="Palatino Linotype" w:cs="Times New Roman"/>
      <w:szCs w:val="24"/>
    </w:rPr>
  </w:style>
  <w:style w:type="paragraph" w:styleId="BalloonText">
    <w:name w:val="Balloon Text"/>
    <w:basedOn w:val="Normal"/>
    <w:link w:val="BalloonTextChar"/>
    <w:uiPriority w:val="99"/>
    <w:semiHidden/>
    <w:unhideWhenUsed/>
    <w:rsid w:val="000B6283"/>
    <w:rPr>
      <w:rFonts w:ascii="Tahoma" w:hAnsi="Tahoma" w:cs="Tahoma"/>
      <w:sz w:val="16"/>
      <w:szCs w:val="16"/>
    </w:rPr>
  </w:style>
  <w:style w:type="character" w:customStyle="1" w:styleId="BalloonTextChar">
    <w:name w:val="Balloon Text Char"/>
    <w:basedOn w:val="DefaultParagraphFont"/>
    <w:link w:val="BalloonText"/>
    <w:uiPriority w:val="99"/>
    <w:semiHidden/>
    <w:rsid w:val="000B628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22CCC"/>
    <w:rPr>
      <w:sz w:val="16"/>
      <w:szCs w:val="16"/>
    </w:rPr>
  </w:style>
  <w:style w:type="paragraph" w:styleId="CommentText">
    <w:name w:val="annotation text"/>
    <w:basedOn w:val="Normal"/>
    <w:link w:val="CommentTextChar"/>
    <w:uiPriority w:val="99"/>
    <w:semiHidden/>
    <w:unhideWhenUsed/>
    <w:rsid w:val="00B22CCC"/>
    <w:rPr>
      <w:sz w:val="20"/>
      <w:szCs w:val="20"/>
    </w:rPr>
  </w:style>
  <w:style w:type="character" w:customStyle="1" w:styleId="CommentTextChar">
    <w:name w:val="Comment Text Char"/>
    <w:basedOn w:val="DefaultParagraphFont"/>
    <w:link w:val="CommentText"/>
    <w:uiPriority w:val="99"/>
    <w:semiHidden/>
    <w:rsid w:val="00B22CCC"/>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B22CCC"/>
    <w:rPr>
      <w:b/>
      <w:bCs/>
    </w:rPr>
  </w:style>
  <w:style w:type="character" w:customStyle="1" w:styleId="CommentSubjectChar">
    <w:name w:val="Comment Subject Char"/>
    <w:basedOn w:val="CommentTextChar"/>
    <w:link w:val="CommentSubject"/>
    <w:uiPriority w:val="99"/>
    <w:semiHidden/>
    <w:rsid w:val="00B22CCC"/>
    <w:rPr>
      <w:rFonts w:ascii="Palatino Linotype" w:eastAsia="Times New Roman" w:hAnsi="Palatino Linotype" w:cs="Times New Roman"/>
      <w:b/>
      <w:bCs/>
      <w:sz w:val="20"/>
      <w:szCs w:val="20"/>
    </w:rPr>
  </w:style>
  <w:style w:type="paragraph" w:styleId="Revision">
    <w:name w:val="Revision"/>
    <w:hidden/>
    <w:uiPriority w:val="99"/>
    <w:semiHidden/>
    <w:rsid w:val="00B22CCC"/>
    <w:pPr>
      <w:spacing w:after="0" w:line="240" w:lineRule="auto"/>
    </w:pPr>
    <w:rPr>
      <w:rFonts w:ascii="Palatino Linotype" w:eastAsia="Times New Roman" w:hAnsi="Palatino Linotyp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map.illinois.gov/regional-tax-policy-tas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A31A0-7753-401D-A2FB-BB538C0B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1743</Words>
  <Characters>9941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CMAP</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Williams-Clark</dc:creator>
  <cp:lastModifiedBy>Emily Plagman</cp:lastModifiedBy>
  <cp:revision>2</cp:revision>
  <dcterms:created xsi:type="dcterms:W3CDTF">2014-02-06T16:21:00Z</dcterms:created>
  <dcterms:modified xsi:type="dcterms:W3CDTF">2014-02-06T16:21:00Z</dcterms:modified>
</cp:coreProperties>
</file>