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815" w:rsidRDefault="0029412E" w:rsidP="00C27815">
      <w:pPr>
        <w:rPr>
          <w:sz w:val="24"/>
          <w:szCs w:val="24"/>
        </w:rPr>
      </w:pPr>
      <w:bookmarkStart w:id="0" w:name="_GoBack"/>
      <w:bookmarkEnd w:id="0"/>
      <w:r>
        <w:rPr>
          <w:noProof/>
          <w:sz w:val="24"/>
          <w:szCs w:val="24"/>
        </w:rPr>
        <w:drawing>
          <wp:inline distT="0" distB="0" distL="0" distR="0">
            <wp:extent cx="5943600" cy="69913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A call for projects header 2014 header.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699135"/>
                    </a:xfrm>
                    <a:prstGeom prst="rect">
                      <a:avLst/>
                    </a:prstGeom>
                  </pic:spPr>
                </pic:pic>
              </a:graphicData>
            </a:graphic>
          </wp:inline>
        </w:drawing>
      </w:r>
    </w:p>
    <w:p w:rsidR="00BD3EF1" w:rsidRDefault="00BD3EF1" w:rsidP="00BD3EF1">
      <w:pPr>
        <w:spacing w:after="0" w:line="240" w:lineRule="auto"/>
        <w:jc w:val="center"/>
        <w:rPr>
          <w:b/>
          <w:color w:val="000000" w:themeColor="text1"/>
          <w:sz w:val="28"/>
        </w:rPr>
      </w:pPr>
    </w:p>
    <w:p w:rsidR="00286B3A" w:rsidRDefault="00286B3A" w:rsidP="00BD3EF1">
      <w:pPr>
        <w:spacing w:after="0" w:line="240" w:lineRule="auto"/>
        <w:jc w:val="center"/>
        <w:rPr>
          <w:b/>
          <w:color w:val="000000" w:themeColor="text1"/>
          <w:sz w:val="28"/>
        </w:rPr>
      </w:pPr>
      <w:r w:rsidRPr="00286B3A">
        <w:rPr>
          <w:b/>
          <w:color w:val="000000" w:themeColor="text1"/>
          <w:sz w:val="28"/>
        </w:rPr>
        <w:t>Application</w:t>
      </w:r>
      <w:r>
        <w:rPr>
          <w:b/>
          <w:color w:val="000000" w:themeColor="text1"/>
          <w:sz w:val="28"/>
        </w:rPr>
        <w:t xml:space="preserve"> </w:t>
      </w:r>
      <w:r w:rsidR="00BD3EF1">
        <w:rPr>
          <w:b/>
          <w:color w:val="000000" w:themeColor="text1"/>
          <w:sz w:val="28"/>
        </w:rPr>
        <w:t>f</w:t>
      </w:r>
      <w:r w:rsidRPr="00286B3A">
        <w:rPr>
          <w:b/>
          <w:color w:val="000000" w:themeColor="text1"/>
          <w:sz w:val="28"/>
        </w:rPr>
        <w:t>orm</w:t>
      </w:r>
      <w:r w:rsidR="00BD3EF1">
        <w:rPr>
          <w:b/>
          <w:color w:val="000000" w:themeColor="text1"/>
          <w:sz w:val="28"/>
        </w:rPr>
        <w:t>:</w:t>
      </w:r>
    </w:p>
    <w:p w:rsidR="00BD3EF1" w:rsidRDefault="00BD3EF1" w:rsidP="00BD3EF1">
      <w:pPr>
        <w:spacing w:after="0" w:line="240" w:lineRule="auto"/>
        <w:jc w:val="center"/>
        <w:rPr>
          <w:b/>
          <w:color w:val="000000" w:themeColor="text1"/>
          <w:sz w:val="28"/>
        </w:rPr>
      </w:pPr>
      <w:r>
        <w:rPr>
          <w:b/>
          <w:color w:val="000000" w:themeColor="text1"/>
          <w:sz w:val="28"/>
        </w:rPr>
        <w:t xml:space="preserve">Community Planning </w:t>
      </w:r>
      <w:r w:rsidR="003B6E6D">
        <w:rPr>
          <w:b/>
          <w:color w:val="000000" w:themeColor="text1"/>
          <w:sz w:val="28"/>
        </w:rPr>
        <w:t xml:space="preserve">Program </w:t>
      </w:r>
      <w:r>
        <w:rPr>
          <w:b/>
          <w:color w:val="000000" w:themeColor="text1"/>
          <w:sz w:val="28"/>
        </w:rPr>
        <w:t>and</w:t>
      </w:r>
    </w:p>
    <w:p w:rsidR="00BD3EF1" w:rsidRPr="00286B3A" w:rsidRDefault="00BD3EF1" w:rsidP="00BD3EF1">
      <w:pPr>
        <w:spacing w:after="0" w:line="240" w:lineRule="auto"/>
        <w:jc w:val="center"/>
        <w:rPr>
          <w:b/>
          <w:color w:val="000000" w:themeColor="text1"/>
          <w:sz w:val="28"/>
        </w:rPr>
      </w:pPr>
      <w:r>
        <w:rPr>
          <w:b/>
          <w:color w:val="000000" w:themeColor="text1"/>
          <w:sz w:val="28"/>
        </w:rPr>
        <w:t xml:space="preserve">Local Technical Assistance </w:t>
      </w:r>
      <w:r w:rsidR="003B6E6D">
        <w:rPr>
          <w:b/>
          <w:color w:val="000000" w:themeColor="text1"/>
          <w:sz w:val="28"/>
        </w:rPr>
        <w:t>P</w:t>
      </w:r>
      <w:r>
        <w:rPr>
          <w:b/>
          <w:color w:val="000000" w:themeColor="text1"/>
          <w:sz w:val="28"/>
        </w:rPr>
        <w:t>rogram</w:t>
      </w:r>
    </w:p>
    <w:p w:rsidR="00286B3A" w:rsidRDefault="00286B3A" w:rsidP="00BD3EF1">
      <w:pPr>
        <w:spacing w:after="0" w:line="240" w:lineRule="auto"/>
        <w:rPr>
          <w:b/>
        </w:rPr>
      </w:pPr>
    </w:p>
    <w:p w:rsidR="00BD3EF1" w:rsidRDefault="00DA2DAF" w:rsidP="00BD3EF1">
      <w:pPr>
        <w:spacing w:after="0" w:line="240" w:lineRule="auto"/>
      </w:pPr>
      <w:r w:rsidRPr="004C27B1">
        <w:rPr>
          <w:b/>
        </w:rPr>
        <w:t>DEADLINE</w:t>
      </w:r>
      <w:r w:rsidR="001338AB" w:rsidRPr="004C27B1">
        <w:rPr>
          <w:b/>
        </w:rPr>
        <w:t xml:space="preserve">: </w:t>
      </w:r>
      <w:r w:rsidR="00F671FC">
        <w:rPr>
          <w:b/>
          <w:color w:val="548DD4" w:themeColor="text2" w:themeTint="99"/>
        </w:rPr>
        <w:t>Noon</w:t>
      </w:r>
      <w:r w:rsidR="0043475D">
        <w:rPr>
          <w:b/>
          <w:color w:val="548DD4" w:themeColor="text2" w:themeTint="99"/>
        </w:rPr>
        <w:t xml:space="preserve"> on </w:t>
      </w:r>
      <w:r w:rsidR="0051092D">
        <w:rPr>
          <w:b/>
          <w:color w:val="548DD4" w:themeColor="text2" w:themeTint="99"/>
        </w:rPr>
        <w:t>Thursday</w:t>
      </w:r>
      <w:r w:rsidR="0043475D">
        <w:rPr>
          <w:b/>
          <w:color w:val="548DD4" w:themeColor="text2" w:themeTint="99"/>
        </w:rPr>
        <w:t xml:space="preserve">, </w:t>
      </w:r>
      <w:r w:rsidR="00AD4BCE">
        <w:rPr>
          <w:b/>
          <w:color w:val="548DD4" w:themeColor="text2" w:themeTint="99"/>
        </w:rPr>
        <w:t>June 2</w:t>
      </w:r>
      <w:r w:rsidR="002A1F2C">
        <w:rPr>
          <w:b/>
          <w:color w:val="548DD4" w:themeColor="text2" w:themeTint="99"/>
        </w:rPr>
        <w:t>6</w:t>
      </w:r>
      <w:r w:rsidR="0043475D">
        <w:rPr>
          <w:b/>
          <w:color w:val="548DD4" w:themeColor="text2" w:themeTint="99"/>
        </w:rPr>
        <w:t>, 201</w:t>
      </w:r>
      <w:r w:rsidR="0051092D">
        <w:rPr>
          <w:b/>
          <w:color w:val="548DD4" w:themeColor="text2" w:themeTint="99"/>
        </w:rPr>
        <w:t>4</w:t>
      </w:r>
      <w:r w:rsidR="001338AB" w:rsidRPr="004C27B1">
        <w:rPr>
          <w:color w:val="548DD4" w:themeColor="text2" w:themeTint="99"/>
        </w:rPr>
        <w:br/>
      </w:r>
    </w:p>
    <w:p w:rsidR="003D1718" w:rsidRDefault="00AC7E14" w:rsidP="00BD3EF1">
      <w:pPr>
        <w:spacing w:after="0" w:line="240" w:lineRule="auto"/>
        <w:ind w:left="90"/>
        <w:rPr>
          <w:color w:val="548DD4" w:themeColor="text2" w:themeTint="99"/>
        </w:rPr>
      </w:pPr>
      <w:r>
        <w:t xml:space="preserve">This application form is online at </w:t>
      </w:r>
      <w:hyperlink r:id="rId8" w:history="1">
        <w:r w:rsidR="002A1F2C" w:rsidRPr="002A1F2C">
          <w:rPr>
            <w:rStyle w:val="Hyperlink"/>
          </w:rPr>
          <w:t>www.</w:t>
        </w:r>
        <w:r w:rsidR="00B638FE" w:rsidRPr="002A1F2C">
          <w:rPr>
            <w:rStyle w:val="Hyperlink"/>
          </w:rPr>
          <w:t>rtachicago.com/applications</w:t>
        </w:r>
      </w:hyperlink>
      <w:r w:rsidRPr="00EA5472">
        <w:t>.</w:t>
      </w:r>
      <w:r>
        <w:t xml:space="preserve">  </w:t>
      </w:r>
      <w:r w:rsidR="00D96C8E">
        <w:t>You may submit the form</w:t>
      </w:r>
      <w:r w:rsidR="001760DD">
        <w:t xml:space="preserve"> by email to </w:t>
      </w:r>
      <w:hyperlink r:id="rId9" w:history="1">
        <w:r w:rsidR="001760DD" w:rsidRPr="002D7573">
          <w:rPr>
            <w:rStyle w:val="Hyperlink"/>
          </w:rPr>
          <w:t>applications@rtachicago.com</w:t>
        </w:r>
      </w:hyperlink>
      <w:r w:rsidR="001760DD">
        <w:t xml:space="preserve">.   </w:t>
      </w:r>
    </w:p>
    <w:p w:rsidR="00BD3EF1" w:rsidRDefault="007C67CE" w:rsidP="00BD3EF1">
      <w:pPr>
        <w:spacing w:after="0" w:line="240" w:lineRule="auto"/>
        <w:ind w:left="90"/>
        <w:rPr>
          <w:color w:val="548DD4" w:themeColor="text2" w:themeTint="99"/>
        </w:rPr>
      </w:pPr>
      <w:r w:rsidRPr="003D1718">
        <w:rPr>
          <w:color w:val="548DD4" w:themeColor="text2" w:themeTint="99"/>
          <w:sz w:val="20"/>
          <w:szCs w:val="20"/>
        </w:rPr>
        <w:t>Upon receipt of application, you will receive an e-mail verifying that your application has been received.</w:t>
      </w:r>
      <w:r>
        <w:rPr>
          <w:color w:val="548DD4" w:themeColor="text2" w:themeTint="99"/>
        </w:rPr>
        <w:t xml:space="preserve">  </w:t>
      </w:r>
    </w:p>
    <w:p w:rsidR="00BD3EF1" w:rsidRDefault="00BD3EF1" w:rsidP="00BD3EF1">
      <w:pPr>
        <w:spacing w:after="0" w:line="240" w:lineRule="auto"/>
        <w:ind w:left="90"/>
        <w:rPr>
          <w:color w:val="548DD4" w:themeColor="text2" w:themeTint="99"/>
        </w:rPr>
      </w:pPr>
    </w:p>
    <w:p w:rsidR="0043475D" w:rsidRDefault="00A822AD" w:rsidP="00BD3EF1">
      <w:pPr>
        <w:spacing w:after="0" w:line="240" w:lineRule="auto"/>
        <w:rPr>
          <w:b/>
          <w:color w:val="548DD4" w:themeColor="text2" w:themeTint="99"/>
        </w:rPr>
      </w:pPr>
      <w:r w:rsidRPr="00A4718E">
        <w:rPr>
          <w:b/>
          <w:color w:val="548DD4" w:themeColor="text2" w:themeTint="99"/>
        </w:rPr>
        <w:t>1</w:t>
      </w:r>
      <w:r w:rsidR="004E2A7E" w:rsidRPr="00A4718E">
        <w:rPr>
          <w:b/>
          <w:color w:val="548DD4" w:themeColor="text2" w:themeTint="99"/>
        </w:rPr>
        <w:t xml:space="preserve">. </w:t>
      </w:r>
      <w:r w:rsidR="00331242" w:rsidRPr="00A4718E">
        <w:rPr>
          <w:b/>
          <w:color w:val="548DD4" w:themeColor="text2" w:themeTint="99"/>
        </w:rPr>
        <w:t>Name of Applicant:</w:t>
      </w:r>
      <w:r w:rsidR="001F0DBE" w:rsidRPr="00A4718E">
        <w:rPr>
          <w:b/>
          <w:color w:val="548DD4" w:themeColor="text2" w:themeTint="99"/>
        </w:rPr>
        <w:t xml:space="preserve"> </w:t>
      </w:r>
      <w:r w:rsidR="00C81F4C">
        <w:rPr>
          <w:b/>
          <w:color w:val="548DD4" w:themeColor="text2" w:themeTint="99"/>
        </w:rPr>
        <w:t xml:space="preserve"> </w:t>
      </w:r>
      <w:r w:rsidR="00C81F4C" w:rsidRPr="00EE011A">
        <w:rPr>
          <w:b/>
          <w:color w:val="1F497D" w:themeColor="text2"/>
        </w:rPr>
        <w:t>Village of Olympia Fields</w:t>
      </w:r>
      <w:r w:rsidR="005A4F9C">
        <w:rPr>
          <w:b/>
          <w:color w:val="548DD4" w:themeColor="text2" w:themeTint="99"/>
        </w:rPr>
        <w:br/>
      </w:r>
    </w:p>
    <w:p w:rsidR="00BD3EF1" w:rsidRDefault="00BD3EF1" w:rsidP="00BD3EF1">
      <w:pPr>
        <w:spacing w:after="0" w:line="240" w:lineRule="auto"/>
        <w:rPr>
          <w:b/>
          <w:color w:val="548DD4" w:themeColor="text2" w:themeTint="99"/>
        </w:rPr>
      </w:pPr>
    </w:p>
    <w:p w:rsidR="00C81F4C" w:rsidRDefault="0043475D" w:rsidP="00BD3EF1">
      <w:pPr>
        <w:spacing w:after="0" w:line="240" w:lineRule="auto"/>
        <w:rPr>
          <w:b/>
          <w:color w:val="548DD4" w:themeColor="text2" w:themeTint="99"/>
        </w:rPr>
      </w:pPr>
      <w:r>
        <w:rPr>
          <w:b/>
          <w:color w:val="548DD4" w:themeColor="text2" w:themeTint="99"/>
        </w:rPr>
        <w:t>2. Main Contact for Application</w:t>
      </w:r>
      <w:r w:rsidR="00A55FA4">
        <w:rPr>
          <w:b/>
          <w:color w:val="548DD4" w:themeColor="text2" w:themeTint="99"/>
        </w:rPr>
        <w:t xml:space="preserve"> (please include name, phone number and email)</w:t>
      </w:r>
      <w:r>
        <w:rPr>
          <w:b/>
          <w:color w:val="548DD4" w:themeColor="text2" w:themeTint="99"/>
        </w:rPr>
        <w:t xml:space="preserve">: </w:t>
      </w:r>
    </w:p>
    <w:p w:rsidR="00C81F4C" w:rsidRDefault="00C81F4C" w:rsidP="00BD3EF1">
      <w:pPr>
        <w:spacing w:after="0" w:line="240" w:lineRule="auto"/>
        <w:rPr>
          <w:b/>
          <w:color w:val="548DD4" w:themeColor="text2" w:themeTint="99"/>
        </w:rPr>
      </w:pPr>
    </w:p>
    <w:p w:rsidR="00A55FA4" w:rsidRDefault="00C81F4C" w:rsidP="00BD3EF1">
      <w:pPr>
        <w:spacing w:after="0" w:line="240" w:lineRule="auto"/>
        <w:rPr>
          <w:b/>
          <w:color w:val="548DD4" w:themeColor="text2" w:themeTint="99"/>
        </w:rPr>
      </w:pPr>
      <w:r w:rsidRPr="00EE011A">
        <w:rPr>
          <w:b/>
          <w:color w:val="1F497D" w:themeColor="text2"/>
        </w:rPr>
        <w:t>David Mekarski, AICP (708)</w:t>
      </w:r>
      <w:r w:rsidR="00EE011A" w:rsidRPr="00EE011A">
        <w:rPr>
          <w:b/>
          <w:color w:val="1F497D" w:themeColor="text2"/>
        </w:rPr>
        <w:t xml:space="preserve"> 503-8000 ext. 3417</w:t>
      </w:r>
      <w:r w:rsidR="00EE011A">
        <w:rPr>
          <w:b/>
          <w:color w:val="548DD4" w:themeColor="text2" w:themeTint="99"/>
        </w:rPr>
        <w:t xml:space="preserve"> </w:t>
      </w:r>
      <w:hyperlink r:id="rId10" w:history="1">
        <w:r w:rsidR="00EE011A" w:rsidRPr="00C107BD">
          <w:rPr>
            <w:rStyle w:val="Hyperlink"/>
            <w:b/>
          </w:rPr>
          <w:t>DMekarski@olympia-fields.com</w:t>
        </w:r>
      </w:hyperlink>
      <w:r w:rsidR="00EE011A">
        <w:rPr>
          <w:b/>
          <w:color w:val="548DD4" w:themeColor="text2" w:themeTint="99"/>
        </w:rPr>
        <w:t xml:space="preserve"> </w:t>
      </w:r>
    </w:p>
    <w:p w:rsidR="00BD3EF1" w:rsidRDefault="00BD3EF1" w:rsidP="00BD3EF1">
      <w:pPr>
        <w:spacing w:after="0" w:line="240" w:lineRule="auto"/>
        <w:rPr>
          <w:b/>
          <w:color w:val="548DD4" w:themeColor="text2" w:themeTint="99"/>
        </w:rPr>
      </w:pPr>
    </w:p>
    <w:p w:rsidR="00BD3EF1" w:rsidRDefault="00503034" w:rsidP="00BD3EF1">
      <w:pPr>
        <w:spacing w:after="0" w:line="240" w:lineRule="auto"/>
        <w:rPr>
          <w:rFonts w:cstheme="minorHAnsi"/>
        </w:rPr>
      </w:pPr>
      <w:r>
        <w:rPr>
          <w:b/>
          <w:color w:val="548DD4" w:themeColor="text2" w:themeTint="99"/>
        </w:rPr>
        <w:t>3</w:t>
      </w:r>
      <w:r w:rsidR="004E2A7E" w:rsidRPr="00A4718E">
        <w:rPr>
          <w:b/>
          <w:color w:val="548DD4" w:themeColor="text2" w:themeTint="99"/>
        </w:rPr>
        <w:t xml:space="preserve">. </w:t>
      </w:r>
      <w:r w:rsidR="00331242" w:rsidRPr="00A4718E">
        <w:rPr>
          <w:b/>
          <w:color w:val="548DD4" w:themeColor="text2" w:themeTint="99"/>
        </w:rPr>
        <w:t>Type of Applicant</w:t>
      </w:r>
      <w:r w:rsidR="000E17EB" w:rsidRPr="00A4718E">
        <w:rPr>
          <w:b/>
          <w:color w:val="548DD4" w:themeColor="text2" w:themeTint="99"/>
        </w:rPr>
        <w:t xml:space="preserve"> (please check any that apply)</w:t>
      </w:r>
      <w:r w:rsidR="00331242" w:rsidRPr="00A4718E">
        <w:rPr>
          <w:b/>
          <w:color w:val="548DD4" w:themeColor="text2" w:themeTint="99"/>
        </w:rPr>
        <w:t>:</w:t>
      </w:r>
      <w:r w:rsidR="00A822AD" w:rsidRPr="00A4718E">
        <w:rPr>
          <w:b/>
          <w:color w:val="548DD4" w:themeColor="text2" w:themeTint="99"/>
        </w:rPr>
        <w:br/>
      </w:r>
      <w:r w:rsidR="00EE011A">
        <w:rPr>
          <w:rFonts w:cstheme="minorHAnsi"/>
        </w:rPr>
        <w:t xml:space="preserve"> </w:t>
      </w:r>
    </w:p>
    <w:p w:rsidR="00BD3EF1" w:rsidRDefault="000E17EB" w:rsidP="00BD3EF1">
      <w:pPr>
        <w:spacing w:after="0" w:line="240" w:lineRule="auto"/>
      </w:pPr>
      <w:r w:rsidRPr="004C27B1">
        <w:rPr>
          <w:rFonts w:cstheme="minorHAnsi"/>
        </w:rPr>
        <w:t>_</w:t>
      </w:r>
      <w:r w:rsidR="00EE011A" w:rsidRPr="00EE011A">
        <w:rPr>
          <w:rFonts w:cstheme="minorHAnsi"/>
          <w:b/>
          <w:color w:val="1F497D" w:themeColor="text2"/>
          <w:u w:val="single"/>
        </w:rPr>
        <w:t>X</w:t>
      </w:r>
      <w:r w:rsidRPr="004C27B1">
        <w:rPr>
          <w:rFonts w:cstheme="minorHAnsi"/>
        </w:rPr>
        <w:t xml:space="preserve">__ </w:t>
      </w:r>
      <w:r w:rsidR="00B638FE">
        <w:t>Local government</w:t>
      </w:r>
      <w:r w:rsidRPr="004C27B1">
        <w:br/>
      </w:r>
    </w:p>
    <w:p w:rsidR="00BD3EF1" w:rsidRDefault="00A55FA4" w:rsidP="00BD3EF1">
      <w:pPr>
        <w:spacing w:after="0" w:line="240" w:lineRule="auto"/>
        <w:rPr>
          <w:color w:val="000000" w:themeColor="text1"/>
        </w:rPr>
      </w:pPr>
      <w:r>
        <w:rPr>
          <w:rFonts w:cstheme="minorHAnsi"/>
          <w:noProof/>
        </w:rPr>
        <mc:AlternateContent>
          <mc:Choice Requires="wps">
            <w:drawing>
              <wp:anchor distT="0" distB="0" distL="114300" distR="114300" simplePos="0" relativeHeight="251661312" behindDoc="0" locked="0" layoutInCell="1" allowOverlap="1" wp14:anchorId="1B2044E7" wp14:editId="400020D1">
                <wp:simplePos x="0" y="0"/>
                <wp:positionH relativeFrom="column">
                  <wp:posOffset>1876425</wp:posOffset>
                </wp:positionH>
                <wp:positionV relativeFrom="paragraph">
                  <wp:posOffset>107950</wp:posOffset>
                </wp:positionV>
                <wp:extent cx="751205" cy="635"/>
                <wp:effectExtent l="0" t="76200" r="29845" b="9461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1205" cy="6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AE2FBC4" id="_x0000_t32" coordsize="21600,21600" o:spt="32" o:oned="t" path="m,l21600,21600e" filled="f">
                <v:path arrowok="t" fillok="f" o:connecttype="none"/>
                <o:lock v:ext="edit" shapetype="t"/>
              </v:shapetype>
              <v:shape id="AutoShape 2" o:spid="_x0000_s1026" type="#_x0000_t32" style="position:absolute;margin-left:147.75pt;margin-top:8.5pt;width:59.15pt;height:.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" strokeweight="1.5pt">
                <v:stroke endarrow="block"/>
              </v:shape>
            </w:pict>
          </mc:Fallback>
        </mc:AlternateContent>
      </w:r>
      <w:r w:rsidR="000E17EB" w:rsidRPr="004C27B1">
        <w:t xml:space="preserve">____ </w:t>
      </w:r>
      <w:r w:rsidR="00B917EB">
        <w:t>Multijurisdictional</w:t>
      </w:r>
      <w:r w:rsidR="00250BFE" w:rsidRPr="004C27B1">
        <w:t xml:space="preserve"> group</w:t>
      </w:r>
      <w:r w:rsidR="00BD3EF1">
        <w:t>*</w:t>
      </w:r>
      <w:r w:rsidR="000F42F4">
        <w:t xml:space="preserve"> </w:t>
      </w:r>
      <w:r w:rsidR="00784C55">
        <w:tab/>
      </w:r>
      <w:r w:rsidR="00784C55">
        <w:tab/>
      </w:r>
      <w:r w:rsidR="00784C55">
        <w:tab/>
      </w:r>
      <w:r w:rsidR="00784C55">
        <w:rPr>
          <w:color w:val="000000" w:themeColor="text1"/>
        </w:rPr>
        <w:t>P</w:t>
      </w:r>
      <w:r w:rsidR="007428F1" w:rsidRPr="00785E8B">
        <w:rPr>
          <w:color w:val="000000" w:themeColor="text1"/>
        </w:rPr>
        <w:t>lease list the members of the group</w:t>
      </w:r>
      <w:r w:rsidR="00D42F1D">
        <w:rPr>
          <w:color w:val="000000" w:themeColor="text1"/>
        </w:rPr>
        <w:t xml:space="preserve"> (including </w:t>
      </w:r>
    </w:p>
    <w:p w:rsidR="00A822AD" w:rsidRDefault="00BD3EF1" w:rsidP="00BD3EF1">
      <w:pPr>
        <w:spacing w:after="0" w:line="240" w:lineRule="auto"/>
        <w:rPr>
          <w:color w:val="000000" w:themeColor="text1"/>
        </w:rPr>
      </w:pP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sidR="00D42F1D">
        <w:rPr>
          <w:color w:val="000000" w:themeColor="text1"/>
        </w:rPr>
        <w:t>government and nongovernmental organizations)</w:t>
      </w:r>
      <w:r w:rsidR="00784C55">
        <w:rPr>
          <w:color w:val="000000" w:themeColor="text1"/>
        </w:rPr>
        <w:t>:</w:t>
      </w:r>
    </w:p>
    <w:p w:rsidR="00784C55" w:rsidRPr="00785E8B" w:rsidRDefault="00784C55" w:rsidP="00BD3EF1">
      <w:pPr>
        <w:spacing w:after="0" w:line="240" w:lineRule="auto"/>
        <w:ind w:left="4320"/>
        <w:rPr>
          <w:color w:val="000000" w:themeColor="text1"/>
        </w:rPr>
      </w:pPr>
      <w:r w:rsidRPr="004C27B1">
        <w:t>__________________________________________</w:t>
      </w:r>
      <w:r w:rsidRPr="004C27B1">
        <w:br/>
        <w:t>__________________________________________</w:t>
      </w:r>
      <w:r w:rsidRPr="004C27B1">
        <w:br/>
        <w:t>__________________________________________</w:t>
      </w:r>
      <w:r w:rsidR="00A822AD">
        <w:tab/>
      </w:r>
    </w:p>
    <w:p w:rsidR="00BD3EF1" w:rsidRDefault="00BD3EF1" w:rsidP="00BD3EF1">
      <w:pPr>
        <w:spacing w:after="0" w:line="240" w:lineRule="auto"/>
      </w:pPr>
    </w:p>
    <w:p w:rsidR="00A822AD" w:rsidRDefault="00BB6A0C" w:rsidP="00BD3EF1">
      <w:pPr>
        <w:spacing w:after="0" w:line="240" w:lineRule="auto"/>
      </w:pPr>
      <w:r>
        <w:rPr>
          <w:rFonts w:cstheme="minorHAnsi"/>
          <w:noProof/>
        </w:rPr>
        <mc:AlternateContent>
          <mc:Choice Requires="wps">
            <w:drawing>
              <wp:anchor distT="0" distB="0" distL="114300" distR="114300" simplePos="0" relativeHeight="251660288" behindDoc="0" locked="0" layoutInCell="1" allowOverlap="1" wp14:anchorId="5FF7D607" wp14:editId="41DABE28">
                <wp:simplePos x="0" y="0"/>
                <wp:positionH relativeFrom="column">
                  <wp:posOffset>2231362</wp:posOffset>
                </wp:positionH>
                <wp:positionV relativeFrom="paragraph">
                  <wp:posOffset>100387</wp:posOffset>
                </wp:positionV>
                <wp:extent cx="447675" cy="635"/>
                <wp:effectExtent l="0" t="76200" r="28575" b="946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635"/>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C23986B" id="AutoShape 2" o:spid="_x0000_s1026" type="#_x0000_t32" style="position:absolute;margin-left:175.7pt;margin-top:7.9pt;width:35.25pt;height:.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" strokeweight="1.5pt">
                <v:stroke endarrow="block"/>
              </v:shape>
            </w:pict>
          </mc:Fallback>
        </mc:AlternateContent>
      </w:r>
      <w:r w:rsidR="000E17EB" w:rsidRPr="004C27B1">
        <w:t xml:space="preserve">____ </w:t>
      </w:r>
      <w:r w:rsidR="00250BFE" w:rsidRPr="004C27B1">
        <w:t>N</w:t>
      </w:r>
      <w:r w:rsidR="000E17EB" w:rsidRPr="004C27B1">
        <w:t>ongovernmental organization</w:t>
      </w:r>
      <w:r w:rsidR="00D42F1D">
        <w:t>*</w:t>
      </w:r>
      <w:r w:rsidR="00300F0D" w:rsidRPr="004C27B1">
        <w:tab/>
      </w:r>
      <w:r w:rsidR="00300F0D" w:rsidRPr="004C27B1">
        <w:tab/>
        <w:t>Name of local government partner(s):</w:t>
      </w:r>
    </w:p>
    <w:p w:rsidR="00DA2DAF" w:rsidRPr="004C27B1" w:rsidRDefault="00300F0D" w:rsidP="00BD3EF1">
      <w:pPr>
        <w:spacing w:after="0" w:line="240" w:lineRule="auto"/>
        <w:ind w:left="4320"/>
      </w:pPr>
      <w:r w:rsidRPr="004C27B1">
        <w:t>__________________________________________</w:t>
      </w:r>
      <w:r w:rsidRPr="004C27B1">
        <w:br/>
        <w:t>__________________________________________</w:t>
      </w:r>
      <w:r w:rsidRPr="004C27B1">
        <w:br/>
        <w:t>__________________________________________</w:t>
      </w:r>
    </w:p>
    <w:p w:rsidR="00CA64D7" w:rsidRDefault="00CA64D7" w:rsidP="00BD3EF1">
      <w:pPr>
        <w:spacing w:after="0" w:line="240" w:lineRule="auto"/>
        <w:rPr>
          <w:b/>
          <w:color w:val="548DD4" w:themeColor="text2" w:themeTint="99"/>
        </w:rPr>
      </w:pPr>
    </w:p>
    <w:p w:rsidR="00D42F1D" w:rsidRDefault="00D42F1D" w:rsidP="00BD3EF1">
      <w:pPr>
        <w:spacing w:after="0" w:line="240" w:lineRule="auto"/>
      </w:pPr>
      <w:r w:rsidRPr="00AD4BCE">
        <w:t>*</w:t>
      </w:r>
      <w:r>
        <w:t xml:space="preserve">Applications submitted by </w:t>
      </w:r>
      <w:r w:rsidR="00BD3EF1">
        <w:t xml:space="preserve">multijurisdictional groups and </w:t>
      </w:r>
      <w:r>
        <w:t xml:space="preserve">nongovernmental organizations must include a letter indicating support from </w:t>
      </w:r>
      <w:r w:rsidR="00BD3EF1">
        <w:t>each</w:t>
      </w:r>
      <w:r>
        <w:t xml:space="preserve"> relevant local government.  See the FAQs for more information.</w:t>
      </w:r>
      <w:r w:rsidR="00B638FE">
        <w:t xml:space="preserve">  Nongovernmental applicants are strongly encouraged to contact CMAP or the RTA prior to submitting their application to discuss their project and the demonstration of local support.</w:t>
      </w:r>
    </w:p>
    <w:p w:rsidR="00BD3EF1" w:rsidRDefault="00BD3EF1" w:rsidP="00BD3EF1">
      <w:pPr>
        <w:spacing w:after="0" w:line="240" w:lineRule="auto"/>
      </w:pPr>
    </w:p>
    <w:p w:rsidR="00BD3EF1" w:rsidRPr="00981A13" w:rsidRDefault="00BD3EF1">
      <w:pPr>
        <w:rPr>
          <w:b/>
          <w:color w:val="548DD4" w:themeColor="text2" w:themeTint="99"/>
        </w:rPr>
      </w:pPr>
      <w:r w:rsidRPr="00981A13">
        <w:rPr>
          <w:b/>
          <w:color w:val="548DD4" w:themeColor="text2" w:themeTint="99"/>
        </w:rPr>
        <w:br w:type="page"/>
      </w:r>
    </w:p>
    <w:p w:rsidR="00BD3EF1" w:rsidRDefault="00BD3EF1" w:rsidP="00BD3EF1">
      <w:pPr>
        <w:spacing w:after="0" w:line="240" w:lineRule="auto"/>
        <w:rPr>
          <w:b/>
          <w:color w:val="548DD4" w:themeColor="text2" w:themeTint="99"/>
        </w:rPr>
      </w:pPr>
      <w:r>
        <w:rPr>
          <w:b/>
          <w:color w:val="548DD4" w:themeColor="text2" w:themeTint="99"/>
        </w:rPr>
        <w:lastRenderedPageBreak/>
        <w:t xml:space="preserve">4. Project Type </w:t>
      </w:r>
      <w:r w:rsidRPr="00A4718E">
        <w:rPr>
          <w:b/>
          <w:color w:val="548DD4" w:themeColor="text2" w:themeTint="99"/>
        </w:rPr>
        <w:t>(please check any that apply):</w:t>
      </w:r>
    </w:p>
    <w:p w:rsidR="00BD3EF1" w:rsidRDefault="00BD3EF1" w:rsidP="00BD3EF1">
      <w:pPr>
        <w:spacing w:after="0" w:line="240" w:lineRule="auto"/>
      </w:pPr>
      <w:r w:rsidRPr="00BD3EF1">
        <w:t xml:space="preserve">Please check all </w:t>
      </w:r>
      <w:r w:rsidR="004C2D2D">
        <w:t>statements</w:t>
      </w:r>
      <w:r w:rsidRPr="00BD3EF1">
        <w:t xml:space="preserve"> below that describe characteristics of your project.</w:t>
      </w:r>
      <w:r>
        <w:t xml:space="preserve">  (This will help us determine whether your project is best handled by CMAP or RTA.)</w:t>
      </w:r>
    </w:p>
    <w:p w:rsidR="00BD3EF1" w:rsidRDefault="00BD3EF1" w:rsidP="00BD3EF1">
      <w:pPr>
        <w:spacing w:after="0" w:line="240" w:lineRule="auto"/>
      </w:pPr>
    </w:p>
    <w:p w:rsidR="003D1718" w:rsidRDefault="003D1718" w:rsidP="00B638FE">
      <w:pPr>
        <w:spacing w:after="0" w:line="240" w:lineRule="auto"/>
        <w:ind w:left="720" w:hanging="720"/>
      </w:pPr>
      <w:r>
        <w:t xml:space="preserve">____ My project </w:t>
      </w:r>
      <w:r w:rsidR="00B638FE">
        <w:t>involves preparation of a plan.</w:t>
      </w:r>
    </w:p>
    <w:p w:rsidR="003D1718" w:rsidRDefault="003D1718" w:rsidP="00B638FE">
      <w:pPr>
        <w:spacing w:after="0" w:line="240" w:lineRule="auto"/>
        <w:ind w:left="720" w:hanging="720"/>
      </w:pPr>
      <w:r>
        <w:t>__</w:t>
      </w:r>
      <w:r w:rsidR="00EE011A" w:rsidRPr="00EE011A">
        <w:rPr>
          <w:b/>
          <w:color w:val="1F497D" w:themeColor="text2"/>
          <w:u w:val="single"/>
        </w:rPr>
        <w:t>X</w:t>
      </w:r>
      <w:r>
        <w:t xml:space="preserve">_ My project </w:t>
      </w:r>
      <w:r w:rsidR="00B638FE">
        <w:t>helps to implement</w:t>
      </w:r>
      <w:r>
        <w:t xml:space="preserve"> a past plan</w:t>
      </w:r>
      <w:r w:rsidR="00B638FE">
        <w:t>.</w:t>
      </w:r>
    </w:p>
    <w:p w:rsidR="00A87642" w:rsidRDefault="00A87642" w:rsidP="00B638FE">
      <w:pPr>
        <w:spacing w:after="0" w:line="240" w:lineRule="auto"/>
        <w:ind w:left="720" w:hanging="720"/>
      </w:pPr>
      <w:r w:rsidRPr="004C27B1">
        <w:t>__</w:t>
      </w:r>
      <w:r w:rsidR="00EE011A" w:rsidRPr="00EE011A">
        <w:rPr>
          <w:b/>
          <w:color w:val="1F497D" w:themeColor="text2"/>
          <w:u w:val="single"/>
        </w:rPr>
        <w:t>X</w:t>
      </w:r>
      <w:r w:rsidRPr="004C27B1">
        <w:t>_</w:t>
      </w:r>
      <w:r>
        <w:t xml:space="preserve"> My project links land use, transportation, and housing.</w:t>
      </w:r>
    </w:p>
    <w:p w:rsidR="00A87642" w:rsidRDefault="00A87642" w:rsidP="00B638FE">
      <w:pPr>
        <w:spacing w:after="0" w:line="240" w:lineRule="auto"/>
        <w:ind w:left="720" w:hanging="720"/>
      </w:pPr>
      <w:r w:rsidRPr="004C27B1">
        <w:t>__</w:t>
      </w:r>
      <w:r w:rsidR="00EE011A" w:rsidRPr="00EE011A">
        <w:rPr>
          <w:b/>
          <w:color w:val="1F497D" w:themeColor="text2"/>
          <w:u w:val="single"/>
        </w:rPr>
        <w:t>X</w:t>
      </w:r>
      <w:r w:rsidRPr="004C27B1">
        <w:t>_</w:t>
      </w:r>
      <w:r>
        <w:t xml:space="preserve"> My project has direct relevance to public trans</w:t>
      </w:r>
      <w:r w:rsidR="000A5D46">
        <w:t xml:space="preserve">it and supports the use of the existing </w:t>
      </w:r>
      <w:r w:rsidR="00B638FE">
        <w:t xml:space="preserve">transit </w:t>
      </w:r>
      <w:r w:rsidR="000A5D46">
        <w:t>system</w:t>
      </w:r>
      <w:r>
        <w:t>.</w:t>
      </w:r>
    </w:p>
    <w:p w:rsidR="00A87642" w:rsidRDefault="00A87642" w:rsidP="00B638FE">
      <w:pPr>
        <w:spacing w:after="0" w:line="240" w:lineRule="auto"/>
        <w:ind w:left="720" w:hanging="720"/>
      </w:pPr>
      <w:r w:rsidRPr="004C27B1">
        <w:t>____</w:t>
      </w:r>
      <w:r>
        <w:t xml:space="preserve"> My project </w:t>
      </w:r>
      <w:r w:rsidR="00B638FE">
        <w:t>is not directly related to transportation or land use</w:t>
      </w:r>
      <w:r>
        <w:t xml:space="preserve">, </w:t>
      </w:r>
      <w:r w:rsidR="00391AA3">
        <w:t xml:space="preserve">but </w:t>
      </w:r>
      <w:r w:rsidR="00C65C16">
        <w:t>implements GO TO 2040 in other ways.</w:t>
      </w:r>
    </w:p>
    <w:p w:rsidR="00A87642" w:rsidRDefault="00A87642" w:rsidP="00BD3EF1">
      <w:pPr>
        <w:spacing w:after="0" w:line="240" w:lineRule="auto"/>
      </w:pPr>
    </w:p>
    <w:p w:rsidR="00BD3EF1" w:rsidRPr="00BD3EF1" w:rsidRDefault="00BD3EF1" w:rsidP="00BD3EF1">
      <w:pPr>
        <w:spacing w:after="0" w:line="240" w:lineRule="auto"/>
      </w:pPr>
    </w:p>
    <w:p w:rsidR="00A87642" w:rsidRDefault="00A87642" w:rsidP="00BD3EF1">
      <w:pPr>
        <w:spacing w:after="0" w:line="240" w:lineRule="auto"/>
        <w:rPr>
          <w:b/>
          <w:color w:val="548DD4" w:themeColor="text2" w:themeTint="99"/>
        </w:rPr>
      </w:pPr>
      <w:r>
        <w:rPr>
          <w:b/>
          <w:color w:val="548DD4" w:themeColor="text2" w:themeTint="99"/>
        </w:rPr>
        <w:t>5. Project Location:</w:t>
      </w:r>
    </w:p>
    <w:p w:rsidR="00A87642" w:rsidRPr="00A87642" w:rsidRDefault="00A87642" w:rsidP="00BD3EF1">
      <w:pPr>
        <w:spacing w:after="0" w:line="240" w:lineRule="auto"/>
      </w:pPr>
      <w:r w:rsidRPr="00A87642">
        <w:t xml:space="preserve">Please </w:t>
      </w:r>
      <w:r>
        <w:t>provide a brief description of the location of your project.  You may include a map if that helps to describe location, but this is not required.  If your project helps to implement a past</w:t>
      </w:r>
      <w:r w:rsidR="005D1982">
        <w:t xml:space="preserve"> plan</w:t>
      </w:r>
      <w:r>
        <w:t>, please include a link to that plan.</w:t>
      </w:r>
    </w:p>
    <w:p w:rsidR="00A87642" w:rsidRDefault="00A87642" w:rsidP="00BD3EF1">
      <w:pPr>
        <w:spacing w:after="0" w:line="240" w:lineRule="auto"/>
      </w:pPr>
    </w:p>
    <w:p w:rsidR="006D39D3" w:rsidRDefault="006D39D3" w:rsidP="00BD3EF1">
      <w:pPr>
        <w:spacing w:after="0" w:line="240" w:lineRule="auto"/>
      </w:pPr>
      <w:r>
        <w:t>The Zoning Ordinance will address the entire Village of Olympia Fields.  Links to past plans the ordinance will help to implement include:</w:t>
      </w:r>
    </w:p>
    <w:p w:rsidR="006D39D3" w:rsidRDefault="006D39D3" w:rsidP="00BD3EF1">
      <w:pPr>
        <w:spacing w:after="0" w:line="240" w:lineRule="auto"/>
      </w:pPr>
    </w:p>
    <w:tbl>
      <w:tblPr>
        <w:tblStyle w:val="GridTable4Accent1"/>
        <w:tblW w:w="0" w:type="auto"/>
        <w:tblLook w:val="04A0" w:firstRow="1" w:lastRow="0" w:firstColumn="1" w:lastColumn="0" w:noHBand="0" w:noVBand="1"/>
      </w:tblPr>
      <w:tblGrid>
        <w:gridCol w:w="3537"/>
        <w:gridCol w:w="6039"/>
      </w:tblGrid>
      <w:tr w:rsidR="006D39D3" w:rsidTr="00AC44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6D39D3" w:rsidRDefault="006D39D3" w:rsidP="00BD3EF1">
            <w:r>
              <w:t>Project</w:t>
            </w:r>
          </w:p>
        </w:tc>
        <w:tc>
          <w:tcPr>
            <w:tcW w:w="4675" w:type="dxa"/>
          </w:tcPr>
          <w:p w:rsidR="006D39D3" w:rsidRDefault="006D39D3" w:rsidP="00BD3EF1">
            <w:pPr>
              <w:cnfStyle w:val="100000000000" w:firstRow="1" w:lastRow="0" w:firstColumn="0" w:lastColumn="0" w:oddVBand="0" w:evenVBand="0" w:oddHBand="0" w:evenHBand="0" w:firstRowFirstColumn="0" w:firstRowLastColumn="0" w:lastRowFirstColumn="0" w:lastRowLastColumn="0"/>
            </w:pPr>
            <w:r>
              <w:t>Link</w:t>
            </w:r>
          </w:p>
        </w:tc>
      </w:tr>
      <w:tr w:rsidR="006D39D3" w:rsidTr="00AC44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6D39D3" w:rsidRDefault="006D39D3" w:rsidP="00BD3EF1">
            <w:r>
              <w:t>211</w:t>
            </w:r>
            <w:r w:rsidRPr="006D39D3">
              <w:rPr>
                <w:vertAlign w:val="superscript"/>
              </w:rPr>
              <w:t>th</w:t>
            </w:r>
            <w:r>
              <w:t xml:space="preserve"> Street Metra Station TOD Implementation Study</w:t>
            </w:r>
            <w:r w:rsidR="006068FD">
              <w:t xml:space="preserve"> (2012)</w:t>
            </w:r>
          </w:p>
        </w:tc>
        <w:tc>
          <w:tcPr>
            <w:tcW w:w="4675" w:type="dxa"/>
          </w:tcPr>
          <w:p w:rsidR="006D39D3" w:rsidRDefault="001A4889" w:rsidP="00BD3EF1">
            <w:pPr>
              <w:cnfStyle w:val="000000100000" w:firstRow="0" w:lastRow="0" w:firstColumn="0" w:lastColumn="0" w:oddVBand="0" w:evenVBand="0" w:oddHBand="1" w:evenHBand="0" w:firstRowFirstColumn="0" w:firstRowLastColumn="0" w:lastRowFirstColumn="0" w:lastRowLastColumn="0"/>
            </w:pPr>
            <w:hyperlink r:id="rId11" w:history="1">
              <w:r w:rsidR="006D39D3" w:rsidRPr="00C107BD">
                <w:rPr>
                  <w:rStyle w:val="Hyperlink"/>
                </w:rPr>
                <w:t>http://www.villageofparkforest.com/DocumentCenter/View/665</w:t>
              </w:r>
            </w:hyperlink>
            <w:r w:rsidR="006D39D3">
              <w:t xml:space="preserve"> </w:t>
            </w:r>
          </w:p>
        </w:tc>
      </w:tr>
      <w:tr w:rsidR="006D39D3" w:rsidTr="00AC44FA">
        <w:tc>
          <w:tcPr>
            <w:cnfStyle w:val="001000000000" w:firstRow="0" w:lastRow="0" w:firstColumn="1" w:lastColumn="0" w:oddVBand="0" w:evenVBand="0" w:oddHBand="0" w:evenHBand="0" w:firstRowFirstColumn="0" w:firstRowLastColumn="0" w:lastRowFirstColumn="0" w:lastRowLastColumn="0"/>
            <w:tcW w:w="4675" w:type="dxa"/>
          </w:tcPr>
          <w:p w:rsidR="006D39D3" w:rsidRDefault="006D39D3" w:rsidP="00BD3EF1">
            <w:r>
              <w:t>Building Blocks for Sustainable Communities – U.S. EPA</w:t>
            </w:r>
            <w:r w:rsidR="006068FD">
              <w:t xml:space="preserve"> (2013)</w:t>
            </w:r>
          </w:p>
        </w:tc>
        <w:tc>
          <w:tcPr>
            <w:tcW w:w="4675" w:type="dxa"/>
          </w:tcPr>
          <w:p w:rsidR="006D39D3" w:rsidRDefault="001A4889" w:rsidP="00BD3EF1">
            <w:pPr>
              <w:cnfStyle w:val="000000000000" w:firstRow="0" w:lastRow="0" w:firstColumn="0" w:lastColumn="0" w:oddVBand="0" w:evenVBand="0" w:oddHBand="0" w:evenHBand="0" w:firstRowFirstColumn="0" w:firstRowLastColumn="0" w:lastRowFirstColumn="0" w:lastRowLastColumn="0"/>
            </w:pPr>
            <w:hyperlink r:id="rId12" w:history="1">
              <w:r w:rsidR="006D39D3" w:rsidRPr="00C107BD">
                <w:rPr>
                  <w:rStyle w:val="Hyperlink"/>
                </w:rPr>
                <w:t>http://www.epa.gov/smartgrowth/sg_guidelines.htm</w:t>
              </w:r>
            </w:hyperlink>
            <w:r w:rsidR="006D39D3">
              <w:t xml:space="preserve"> </w:t>
            </w:r>
          </w:p>
        </w:tc>
      </w:tr>
      <w:tr w:rsidR="006D39D3" w:rsidTr="00AC44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6D39D3" w:rsidRDefault="006D39D3" w:rsidP="00BD3EF1">
            <w:r>
              <w:t>Town Center Concept and Design Guidelines Update</w:t>
            </w:r>
            <w:r w:rsidR="006068FD">
              <w:t xml:space="preserve"> (2014)</w:t>
            </w:r>
          </w:p>
        </w:tc>
        <w:tc>
          <w:tcPr>
            <w:tcW w:w="4675" w:type="dxa"/>
          </w:tcPr>
          <w:p w:rsidR="006D39D3" w:rsidRDefault="001A4889" w:rsidP="00BD3EF1">
            <w:pPr>
              <w:cnfStyle w:val="000000100000" w:firstRow="0" w:lastRow="0" w:firstColumn="0" w:lastColumn="0" w:oddVBand="0" w:evenVBand="0" w:oddHBand="1" w:evenHBand="0" w:firstRowFirstColumn="0" w:firstRowLastColumn="0" w:lastRowFirstColumn="0" w:lastRowLastColumn="0"/>
            </w:pPr>
            <w:hyperlink r:id="rId13" w:history="1">
              <w:r w:rsidR="006D39D3" w:rsidRPr="00C107BD">
                <w:rPr>
                  <w:rStyle w:val="Hyperlink"/>
                </w:rPr>
                <w:t>http://www.cmap.illinois.gov/programs-and-resources/lta/olympia-fields</w:t>
              </w:r>
            </w:hyperlink>
            <w:r w:rsidR="006D39D3">
              <w:t xml:space="preserve"> </w:t>
            </w:r>
          </w:p>
        </w:tc>
      </w:tr>
      <w:tr w:rsidR="006D39D3" w:rsidTr="00AC44FA">
        <w:tc>
          <w:tcPr>
            <w:cnfStyle w:val="001000000000" w:firstRow="0" w:lastRow="0" w:firstColumn="1" w:lastColumn="0" w:oddVBand="0" w:evenVBand="0" w:oddHBand="0" w:evenHBand="0" w:firstRowFirstColumn="0" w:firstRowLastColumn="0" w:lastRowFirstColumn="0" w:lastRowLastColumn="0"/>
            <w:tcW w:w="4675" w:type="dxa"/>
          </w:tcPr>
          <w:p w:rsidR="006D39D3" w:rsidRDefault="006068FD" w:rsidP="00BD3EF1">
            <w:r>
              <w:t>South Suburban Retail Investment Study (2012)</w:t>
            </w:r>
          </w:p>
        </w:tc>
        <w:tc>
          <w:tcPr>
            <w:tcW w:w="4675" w:type="dxa"/>
          </w:tcPr>
          <w:p w:rsidR="006D39D3" w:rsidRDefault="001A4889" w:rsidP="00BD3EF1">
            <w:pPr>
              <w:cnfStyle w:val="000000000000" w:firstRow="0" w:lastRow="0" w:firstColumn="0" w:lastColumn="0" w:oddVBand="0" w:evenVBand="0" w:oddHBand="0" w:evenHBand="0" w:firstRowFirstColumn="0" w:firstRowLastColumn="0" w:lastRowFirstColumn="0" w:lastRowLastColumn="0"/>
            </w:pPr>
            <w:hyperlink r:id="rId14" w:history="1">
              <w:r w:rsidR="006068FD" w:rsidRPr="00C107BD">
                <w:rPr>
                  <w:rStyle w:val="Hyperlink"/>
                </w:rPr>
                <w:t>http://www.teskaassociates.com/SouthSuburbs/index.htm</w:t>
              </w:r>
            </w:hyperlink>
            <w:r w:rsidR="006068FD">
              <w:t xml:space="preserve"> </w:t>
            </w:r>
          </w:p>
        </w:tc>
      </w:tr>
      <w:tr w:rsidR="006068FD" w:rsidTr="00AC44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rsidR="006068FD" w:rsidRDefault="006068FD" w:rsidP="00BD3EF1">
            <w:r>
              <w:t>Western Avenue/Lincoln Highway Corridor Study (2009)</w:t>
            </w:r>
          </w:p>
        </w:tc>
        <w:tc>
          <w:tcPr>
            <w:tcW w:w="4675" w:type="dxa"/>
          </w:tcPr>
          <w:p w:rsidR="006068FD" w:rsidRDefault="006068FD" w:rsidP="00BD3EF1">
            <w:pPr>
              <w:cnfStyle w:val="000000100000" w:firstRow="0" w:lastRow="0" w:firstColumn="0" w:lastColumn="0" w:oddVBand="0" w:evenVBand="0" w:oddHBand="1" w:evenHBand="0" w:firstRowFirstColumn="0" w:firstRowLastColumn="0" w:lastRowFirstColumn="0" w:lastRowLastColumn="0"/>
            </w:pPr>
            <w:r>
              <w:t>Copy available on request (not currently on-line)</w:t>
            </w:r>
          </w:p>
        </w:tc>
      </w:tr>
      <w:tr w:rsidR="006518D3" w:rsidTr="00AC44FA">
        <w:tc>
          <w:tcPr>
            <w:cnfStyle w:val="001000000000" w:firstRow="0" w:lastRow="0" w:firstColumn="1" w:lastColumn="0" w:oddVBand="0" w:evenVBand="0" w:oddHBand="0" w:evenHBand="0" w:firstRowFirstColumn="0" w:firstRowLastColumn="0" w:lastRowFirstColumn="0" w:lastRowLastColumn="0"/>
            <w:tcW w:w="4675" w:type="dxa"/>
          </w:tcPr>
          <w:p w:rsidR="006518D3" w:rsidRDefault="006518D3" w:rsidP="00BD3EF1">
            <w:r>
              <w:t>Homes for a Changing Region, Phase Three, Year Four</w:t>
            </w:r>
          </w:p>
        </w:tc>
        <w:tc>
          <w:tcPr>
            <w:tcW w:w="4675" w:type="dxa"/>
          </w:tcPr>
          <w:p w:rsidR="006518D3" w:rsidRDefault="001A4889" w:rsidP="00BD3EF1">
            <w:pPr>
              <w:cnfStyle w:val="000000000000" w:firstRow="0" w:lastRow="0" w:firstColumn="0" w:lastColumn="0" w:oddVBand="0" w:evenVBand="0" w:oddHBand="0" w:evenHBand="0" w:firstRowFirstColumn="0" w:firstRowLastColumn="0" w:lastRowFirstColumn="0" w:lastRowLastColumn="0"/>
            </w:pPr>
            <w:hyperlink r:id="rId15" w:history="1">
              <w:r w:rsidR="006518D3" w:rsidRPr="00C107BD">
                <w:rPr>
                  <w:rStyle w:val="Hyperlink"/>
                </w:rPr>
                <w:t>http://www.metroplanning.org/multimedia/publication/546</w:t>
              </w:r>
            </w:hyperlink>
            <w:r w:rsidR="006518D3">
              <w:t xml:space="preserve"> </w:t>
            </w:r>
          </w:p>
        </w:tc>
      </w:tr>
    </w:tbl>
    <w:p w:rsidR="006D39D3" w:rsidRPr="00A87642" w:rsidRDefault="006D39D3" w:rsidP="00BD3EF1">
      <w:pPr>
        <w:spacing w:after="0" w:line="240" w:lineRule="auto"/>
      </w:pPr>
    </w:p>
    <w:p w:rsidR="00A87642" w:rsidRDefault="00A87642" w:rsidP="00BD3EF1">
      <w:pPr>
        <w:spacing w:after="0" w:line="240" w:lineRule="auto"/>
        <w:rPr>
          <w:b/>
          <w:color w:val="548DD4" w:themeColor="text2" w:themeTint="99"/>
        </w:rPr>
      </w:pPr>
      <w:r>
        <w:rPr>
          <w:b/>
          <w:color w:val="548DD4" w:themeColor="text2" w:themeTint="99"/>
        </w:rPr>
        <w:t>6. Project Description:</w:t>
      </w:r>
    </w:p>
    <w:p w:rsidR="00AF4C75" w:rsidRDefault="0025665C" w:rsidP="00BD3EF1">
      <w:pPr>
        <w:spacing w:after="0" w:line="240" w:lineRule="auto"/>
      </w:pPr>
      <w:r w:rsidRPr="000F42F4">
        <w:rPr>
          <w:b/>
        </w:rPr>
        <w:t>Please t</w:t>
      </w:r>
      <w:r w:rsidR="00A67AF7" w:rsidRPr="000F42F4">
        <w:rPr>
          <w:b/>
        </w:rPr>
        <w:t>ell us what you would like to do in your community</w:t>
      </w:r>
      <w:r w:rsidRPr="000F42F4">
        <w:rPr>
          <w:b/>
        </w:rPr>
        <w:t>, and what assistance is needed</w:t>
      </w:r>
      <w:r w:rsidR="000F42F4">
        <w:t xml:space="preserve">.  </w:t>
      </w:r>
      <w:r w:rsidR="00DE6128">
        <w:t>If</w:t>
      </w:r>
      <w:r w:rsidR="00EC574A">
        <w:t xml:space="preserve"> you have more than one idea</w:t>
      </w:r>
      <w:r w:rsidR="00DE6128">
        <w:t xml:space="preserve">, please </w:t>
      </w:r>
      <w:r w:rsidR="00100AE8">
        <w:t xml:space="preserve">submit </w:t>
      </w:r>
      <w:r w:rsidR="003D1718">
        <w:t xml:space="preserve">a separate application for each project.  </w:t>
      </w:r>
      <w:r w:rsidR="000F42F4">
        <w:t>Please be specific, but also brief</w:t>
      </w:r>
      <w:r w:rsidR="00A4718E">
        <w:t xml:space="preserve"> (less than </w:t>
      </w:r>
      <w:r w:rsidR="00243B30">
        <w:t>two</w:t>
      </w:r>
      <w:r w:rsidR="00A4718E">
        <w:t xml:space="preserve"> pages</w:t>
      </w:r>
      <w:r w:rsidR="005A2D46">
        <w:t xml:space="preserve"> per project idea</w:t>
      </w:r>
      <w:r w:rsidR="00A4718E">
        <w:t>)</w:t>
      </w:r>
      <w:r w:rsidRPr="004C27B1">
        <w:t>—</w:t>
      </w:r>
      <w:r w:rsidR="003C2722" w:rsidRPr="004C27B1">
        <w:t>we</w:t>
      </w:r>
      <w:r w:rsidRPr="004C27B1">
        <w:t xml:space="preserve"> </w:t>
      </w:r>
      <w:r w:rsidR="003C2722" w:rsidRPr="004C27B1">
        <w:t xml:space="preserve">simply want </w:t>
      </w:r>
      <w:r w:rsidR="000F42F4">
        <w:t xml:space="preserve">to have a basic </w:t>
      </w:r>
      <w:r w:rsidR="003C2722" w:rsidRPr="004C27B1">
        <w:t xml:space="preserve">understanding of what you want to do. </w:t>
      </w:r>
      <w:r w:rsidR="001E6727" w:rsidRPr="004C27B1">
        <w:t xml:space="preserve"> CMAP </w:t>
      </w:r>
      <w:r w:rsidR="00A87642">
        <w:t xml:space="preserve">and RTA </w:t>
      </w:r>
      <w:r w:rsidR="001E6727" w:rsidRPr="004C27B1">
        <w:t>staff will follow-up with you if we need any additional information to fully u</w:t>
      </w:r>
      <w:r w:rsidR="00503034">
        <w:t xml:space="preserve">nderstand your proposed project. </w:t>
      </w:r>
      <w:r w:rsidR="00CA64D7">
        <w:br/>
      </w:r>
      <w:r w:rsidR="00CA64D7">
        <w:br/>
      </w:r>
      <w:r w:rsidR="00A822AD">
        <w:t>(</w:t>
      </w:r>
      <w:r w:rsidR="007428F1">
        <w:t xml:space="preserve">Please include any additional information that is relevant, </w:t>
      </w:r>
      <w:r w:rsidR="00A87642">
        <w:t>preferably by</w:t>
      </w:r>
      <w:r w:rsidR="007428F1">
        <w:t xml:space="preserve"> providing links to online documents.</w:t>
      </w:r>
      <w:r w:rsidR="00A822AD">
        <w:t>)</w:t>
      </w:r>
      <w:r w:rsidR="00A87642">
        <w:br/>
      </w:r>
    </w:p>
    <w:p w:rsidR="00AC44FA" w:rsidRPr="00A2187C" w:rsidRDefault="00AC44FA" w:rsidP="00BD3EF1">
      <w:pPr>
        <w:spacing w:after="0" w:line="240" w:lineRule="auto"/>
        <w:rPr>
          <w:b/>
          <w:color w:val="1F497D" w:themeColor="text2"/>
        </w:rPr>
      </w:pPr>
      <w:r w:rsidRPr="00A2187C">
        <w:rPr>
          <w:b/>
          <w:color w:val="1F497D" w:themeColor="text2"/>
        </w:rPr>
        <w:t>Project:</w:t>
      </w:r>
      <w:r w:rsidRPr="00A2187C">
        <w:rPr>
          <w:b/>
          <w:color w:val="1F497D" w:themeColor="text2"/>
        </w:rPr>
        <w:tab/>
      </w:r>
      <w:r w:rsidR="00A2187C">
        <w:rPr>
          <w:b/>
          <w:color w:val="1F497D" w:themeColor="text2"/>
        </w:rPr>
        <w:tab/>
      </w:r>
      <w:r w:rsidRPr="00A2187C">
        <w:rPr>
          <w:b/>
          <w:color w:val="1F497D" w:themeColor="text2"/>
        </w:rPr>
        <w:t xml:space="preserve">Zoning Ordinance </w:t>
      </w:r>
      <w:r w:rsidR="00A2187C">
        <w:rPr>
          <w:b/>
          <w:color w:val="1F497D" w:themeColor="text2"/>
        </w:rPr>
        <w:t xml:space="preserve">and Map </w:t>
      </w:r>
      <w:r w:rsidRPr="00A2187C">
        <w:rPr>
          <w:b/>
          <w:color w:val="1F497D" w:themeColor="text2"/>
        </w:rPr>
        <w:t>Update</w:t>
      </w:r>
    </w:p>
    <w:p w:rsidR="00AC44FA" w:rsidRDefault="00AC44FA" w:rsidP="00BD3EF1">
      <w:pPr>
        <w:spacing w:after="0" w:line="240" w:lineRule="auto"/>
        <w:rPr>
          <w:color w:val="1F497D" w:themeColor="text2"/>
        </w:rPr>
      </w:pPr>
    </w:p>
    <w:p w:rsidR="00857A67" w:rsidRPr="00A2187C" w:rsidRDefault="00857A67" w:rsidP="00857A67">
      <w:pPr>
        <w:spacing w:after="0" w:line="240" w:lineRule="auto"/>
        <w:rPr>
          <w:color w:val="1F497D" w:themeColor="text2"/>
        </w:rPr>
      </w:pPr>
      <w:r w:rsidRPr="006518D3">
        <w:rPr>
          <w:b/>
          <w:color w:val="1F497D" w:themeColor="text2"/>
        </w:rPr>
        <w:t>Background:</w:t>
      </w:r>
      <w:r>
        <w:rPr>
          <w:color w:val="1F497D" w:themeColor="text2"/>
        </w:rPr>
        <w:tab/>
        <w:t>As noted above, the Village of Olympia Fields h</w:t>
      </w:r>
      <w:r w:rsidR="006518D3">
        <w:rPr>
          <w:color w:val="1F497D" w:themeColor="text2"/>
        </w:rPr>
        <w:t>as been very proactive in planning for appropriate development in recent years.  These planning efforts, combined with normal zoning applications, have revealed a need for a complete revisions to the Village’s Zoning regulations.</w:t>
      </w:r>
    </w:p>
    <w:p w:rsidR="00857A67" w:rsidRPr="00A2187C" w:rsidRDefault="00857A67" w:rsidP="00BD3EF1">
      <w:pPr>
        <w:spacing w:after="0" w:line="240" w:lineRule="auto"/>
        <w:rPr>
          <w:color w:val="1F497D" w:themeColor="text2"/>
        </w:rPr>
      </w:pPr>
    </w:p>
    <w:p w:rsidR="006518D3" w:rsidRDefault="00AC44FA" w:rsidP="00BD3EF1">
      <w:pPr>
        <w:spacing w:after="0" w:line="240" w:lineRule="auto"/>
        <w:rPr>
          <w:color w:val="1F497D" w:themeColor="text2"/>
        </w:rPr>
      </w:pPr>
      <w:r w:rsidRPr="00A2187C">
        <w:rPr>
          <w:b/>
          <w:color w:val="1F497D" w:themeColor="text2"/>
        </w:rPr>
        <w:t>Need:</w:t>
      </w:r>
      <w:r w:rsidRPr="00A2187C">
        <w:rPr>
          <w:color w:val="1F497D" w:themeColor="text2"/>
        </w:rPr>
        <w:tab/>
        <w:t>The Village of Olympia Fields Zoning Ordinance was developed in 1971, with the last major update in 1981.</w:t>
      </w:r>
      <w:r w:rsidR="00A2187C" w:rsidRPr="00A2187C">
        <w:rPr>
          <w:color w:val="1F497D" w:themeColor="text2"/>
        </w:rPr>
        <w:t xml:space="preserve">    The Village has recently updated the sign regulations, </w:t>
      </w:r>
      <w:r w:rsidR="00857A67">
        <w:rPr>
          <w:color w:val="1F497D" w:themeColor="text2"/>
        </w:rPr>
        <w:t xml:space="preserve">added a site plan review process, </w:t>
      </w:r>
      <w:r w:rsidR="00A2187C" w:rsidRPr="00A2187C">
        <w:rPr>
          <w:color w:val="1F497D" w:themeColor="text2"/>
        </w:rPr>
        <w:t xml:space="preserve">and has made a few minor modifications to accommodate specific development needs – but a major re-write is long overdue.  The existing code has outdated standards (parking and loading, performance standards, etc.) and difficult to use (special use provisions are listed separately, not by district, limited definitions, etc.).  Use lists need to be updated to accommodate new uses </w:t>
      </w:r>
      <w:r w:rsidR="006518D3">
        <w:rPr>
          <w:color w:val="1F497D" w:themeColor="text2"/>
        </w:rPr>
        <w:t xml:space="preserve">and remove outdated terms </w:t>
      </w:r>
      <w:r w:rsidR="00A2187C" w:rsidRPr="00A2187C">
        <w:rPr>
          <w:color w:val="1F497D" w:themeColor="text2"/>
        </w:rPr>
        <w:t>and placed into a table for easy comparison.</w:t>
      </w:r>
      <w:r w:rsidR="00A2187C">
        <w:rPr>
          <w:color w:val="1F497D" w:themeColor="text2"/>
        </w:rPr>
        <w:t xml:space="preserve">    </w:t>
      </w:r>
      <w:r w:rsidR="006518D3">
        <w:rPr>
          <w:color w:val="1F497D" w:themeColor="text2"/>
        </w:rPr>
        <w:t xml:space="preserve">Illustrations are needed </w:t>
      </w:r>
      <w:r w:rsidR="008A2C38">
        <w:rPr>
          <w:color w:val="1F497D" w:themeColor="text2"/>
        </w:rPr>
        <w:t>to</w:t>
      </w:r>
      <w:r w:rsidR="006518D3">
        <w:rPr>
          <w:color w:val="1F497D" w:themeColor="text2"/>
        </w:rPr>
        <w:t xml:space="preserve"> clarify the code.</w:t>
      </w:r>
    </w:p>
    <w:p w:rsidR="006518D3" w:rsidRDefault="006518D3" w:rsidP="00BD3EF1">
      <w:pPr>
        <w:spacing w:after="0" w:line="240" w:lineRule="auto"/>
        <w:rPr>
          <w:color w:val="1F497D" w:themeColor="text2"/>
        </w:rPr>
      </w:pPr>
    </w:p>
    <w:p w:rsidR="00AC44FA" w:rsidRDefault="00A2187C" w:rsidP="00BD3EF1">
      <w:pPr>
        <w:spacing w:after="0" w:line="240" w:lineRule="auto"/>
        <w:rPr>
          <w:color w:val="1F497D" w:themeColor="text2"/>
        </w:rPr>
      </w:pPr>
      <w:r>
        <w:rPr>
          <w:color w:val="1F497D" w:themeColor="text2"/>
        </w:rPr>
        <w:t>In addition, the Village</w:t>
      </w:r>
      <w:r w:rsidR="00426287">
        <w:rPr>
          <w:color w:val="1F497D" w:themeColor="text2"/>
        </w:rPr>
        <w:t>’</w:t>
      </w:r>
      <w:r>
        <w:rPr>
          <w:color w:val="1F497D" w:themeColor="text2"/>
        </w:rPr>
        <w:t>s Planned Unit Development regulations need a major overhaul.</w:t>
      </w:r>
      <w:r w:rsidR="00857A67">
        <w:rPr>
          <w:color w:val="1F497D" w:themeColor="text2"/>
        </w:rPr>
        <w:t xml:space="preserve"> </w:t>
      </w:r>
      <w:r w:rsidR="006518D3">
        <w:rPr>
          <w:color w:val="1F497D" w:themeColor="text2"/>
        </w:rPr>
        <w:t>This issue has been made very clear by recent planning efforts for areas along Lincoln Highway and near the Village’s two Metra Stations.</w:t>
      </w:r>
      <w:r w:rsidR="00857A67">
        <w:rPr>
          <w:color w:val="1F497D" w:themeColor="text2"/>
        </w:rPr>
        <w:t xml:space="preserve"> Significant areas of the Village were developed as PUD’s.  While not clear in the ordinance, these areas have been treated as stand-alone districts and mapped as such – with no clear underlying zoning.  Village records are not good for some of the older PUD’s.  Unfortunately, some of these PUD’s are undeveloped, making it difficult to regulate and encourage new development.  A goal of the ordinance re-write will be to evaluate each PUD, work with property owners, and propose a rezoning to provide for an underlying base district and to provide clear and enforceable PUD regulations if existing standards cannot be located.</w:t>
      </w:r>
    </w:p>
    <w:p w:rsidR="00426287" w:rsidRDefault="00426287" w:rsidP="00BD3EF1">
      <w:pPr>
        <w:spacing w:after="0" w:line="240" w:lineRule="auto"/>
        <w:rPr>
          <w:color w:val="1F497D" w:themeColor="text2"/>
        </w:rPr>
      </w:pPr>
    </w:p>
    <w:p w:rsidR="002B31D9" w:rsidRDefault="00426287" w:rsidP="002B31D9">
      <w:pPr>
        <w:spacing w:after="0" w:line="240" w:lineRule="auto"/>
        <w:rPr>
          <w:color w:val="1F497D" w:themeColor="text2"/>
        </w:rPr>
      </w:pPr>
      <w:r>
        <w:rPr>
          <w:color w:val="1F497D" w:themeColor="text2"/>
        </w:rPr>
        <w:t>The Village’s code also has no provisions for promoting sustainability</w:t>
      </w:r>
      <w:r w:rsidR="0040691E">
        <w:rPr>
          <w:color w:val="1F497D" w:themeColor="text2"/>
        </w:rPr>
        <w:t>.  Updating the code will add</w:t>
      </w:r>
      <w:r w:rsidR="002B31D9">
        <w:rPr>
          <w:color w:val="1F497D" w:themeColor="text2"/>
        </w:rPr>
        <w:t>r</w:t>
      </w:r>
      <w:r w:rsidR="0040691E">
        <w:rPr>
          <w:color w:val="1F497D" w:themeColor="text2"/>
        </w:rPr>
        <w:t>ess this issue and</w:t>
      </w:r>
      <w:r w:rsidR="002B31D9">
        <w:rPr>
          <w:color w:val="1F497D" w:themeColor="text2"/>
        </w:rPr>
        <w:t xml:space="preserve"> assist in addressing recommendations from the Sustainable Communities planning effort done in conjunction with the E.P.A.  </w:t>
      </w:r>
      <w:r>
        <w:rPr>
          <w:color w:val="1F497D" w:themeColor="text2"/>
        </w:rPr>
        <w:t xml:space="preserve">The current code has no provisions for wind, solar, or geo-thermal systems.  </w:t>
      </w:r>
      <w:r w:rsidR="0040691E">
        <w:rPr>
          <w:color w:val="1F497D" w:themeColor="text2"/>
        </w:rPr>
        <w:t xml:space="preserve"> The excessive parking requirements of the existing code have resulted in large, unused parking fields.  </w:t>
      </w:r>
      <w:r w:rsidR="002B31D9">
        <w:rPr>
          <w:color w:val="1F497D" w:themeColor="text2"/>
        </w:rPr>
        <w:t>By reducing parking requirements, the code will allow for appropriate parking while reducing pavement and maximizing land utilization.</w:t>
      </w:r>
    </w:p>
    <w:p w:rsidR="00426287" w:rsidRDefault="00426287" w:rsidP="00BD3EF1">
      <w:pPr>
        <w:spacing w:after="0" w:line="240" w:lineRule="auto"/>
        <w:rPr>
          <w:color w:val="1F497D" w:themeColor="text2"/>
        </w:rPr>
      </w:pPr>
    </w:p>
    <w:p w:rsidR="00426287" w:rsidRPr="00A2187C" w:rsidRDefault="00426287" w:rsidP="00BD3EF1">
      <w:pPr>
        <w:spacing w:after="0" w:line="240" w:lineRule="auto"/>
        <w:rPr>
          <w:color w:val="1F497D" w:themeColor="text2"/>
        </w:rPr>
      </w:pPr>
      <w:r>
        <w:rPr>
          <w:color w:val="1F497D" w:themeColor="text2"/>
        </w:rPr>
        <w:t>This zoning ordinance update is essential to provide the regulatory tools needed to implement the extensive planning efforts the Village has completed over the past 5 years.</w:t>
      </w:r>
    </w:p>
    <w:p w:rsidR="00AC44FA" w:rsidRPr="00A2187C" w:rsidRDefault="00AC44FA" w:rsidP="00BD3EF1">
      <w:pPr>
        <w:spacing w:after="0" w:line="240" w:lineRule="auto"/>
        <w:rPr>
          <w:color w:val="1F497D" w:themeColor="text2"/>
        </w:rPr>
      </w:pPr>
    </w:p>
    <w:p w:rsidR="00AC44FA" w:rsidRDefault="006518D3" w:rsidP="00BD3EF1">
      <w:pPr>
        <w:spacing w:after="0" w:line="240" w:lineRule="auto"/>
        <w:rPr>
          <w:color w:val="1F497D" w:themeColor="text2"/>
        </w:rPr>
      </w:pPr>
      <w:r w:rsidRPr="00426287">
        <w:rPr>
          <w:b/>
          <w:color w:val="1F497D" w:themeColor="text2"/>
        </w:rPr>
        <w:t>Relationship to GOTO 2040:</w:t>
      </w:r>
      <w:r w:rsidR="008B0368">
        <w:rPr>
          <w:b/>
          <w:color w:val="1F497D" w:themeColor="text2"/>
        </w:rPr>
        <w:tab/>
      </w:r>
      <w:r w:rsidR="008B0368">
        <w:rPr>
          <w:color w:val="1F497D" w:themeColor="text2"/>
        </w:rPr>
        <w:t>Updating the Zoning Ordinance will allow the Village to implement numerous GOTO 2040 recommendations including:</w:t>
      </w:r>
    </w:p>
    <w:p w:rsidR="008B0368" w:rsidRDefault="008B0368" w:rsidP="008B0368">
      <w:pPr>
        <w:pStyle w:val="ListParagraph"/>
        <w:numPr>
          <w:ilvl w:val="0"/>
          <w:numId w:val="7"/>
        </w:numPr>
        <w:spacing w:after="0" w:line="240" w:lineRule="auto"/>
        <w:rPr>
          <w:color w:val="1F497D" w:themeColor="text2"/>
        </w:rPr>
      </w:pPr>
      <w:r>
        <w:rPr>
          <w:color w:val="1F497D" w:themeColor="text2"/>
        </w:rPr>
        <w:t>Promoting</w:t>
      </w:r>
      <w:r w:rsidRPr="002B31D9">
        <w:rPr>
          <w:i/>
          <w:color w:val="1F497D" w:themeColor="text2"/>
        </w:rPr>
        <w:t xml:space="preserve"> livable communities </w:t>
      </w:r>
      <w:r>
        <w:rPr>
          <w:color w:val="1F497D" w:themeColor="text2"/>
        </w:rPr>
        <w:t>through land use and housing regulations that implement plans completed in recent years</w:t>
      </w:r>
    </w:p>
    <w:p w:rsidR="008B0368" w:rsidRDefault="008B0368" w:rsidP="008B0368">
      <w:pPr>
        <w:pStyle w:val="ListParagraph"/>
        <w:numPr>
          <w:ilvl w:val="0"/>
          <w:numId w:val="7"/>
        </w:numPr>
        <w:spacing w:after="0" w:line="240" w:lineRule="auto"/>
        <w:rPr>
          <w:color w:val="1F497D" w:themeColor="text2"/>
        </w:rPr>
      </w:pPr>
      <w:r>
        <w:rPr>
          <w:color w:val="1F497D" w:themeColor="text2"/>
        </w:rPr>
        <w:t xml:space="preserve">Implementing </w:t>
      </w:r>
      <w:r w:rsidRPr="002B31D9">
        <w:rPr>
          <w:i/>
          <w:color w:val="1F497D" w:themeColor="text2"/>
        </w:rPr>
        <w:t>efficient governance</w:t>
      </w:r>
      <w:r>
        <w:rPr>
          <w:color w:val="1F497D" w:themeColor="text2"/>
        </w:rPr>
        <w:t xml:space="preserve"> by giving the Village clear tools to regulate development and better communicate to developers the Village’</w:t>
      </w:r>
      <w:r w:rsidR="007060FB">
        <w:rPr>
          <w:color w:val="1F497D" w:themeColor="text2"/>
        </w:rPr>
        <w:t>s requirements and proc</w:t>
      </w:r>
      <w:r>
        <w:rPr>
          <w:color w:val="1F497D" w:themeColor="text2"/>
        </w:rPr>
        <w:t>edures.</w:t>
      </w:r>
    </w:p>
    <w:p w:rsidR="008B0368" w:rsidRPr="008B0368" w:rsidRDefault="008B0368" w:rsidP="008B0368">
      <w:pPr>
        <w:pStyle w:val="ListParagraph"/>
        <w:numPr>
          <w:ilvl w:val="0"/>
          <w:numId w:val="7"/>
        </w:numPr>
        <w:spacing w:after="0" w:line="240" w:lineRule="auto"/>
        <w:rPr>
          <w:color w:val="1F497D" w:themeColor="text2"/>
        </w:rPr>
      </w:pPr>
      <w:r>
        <w:rPr>
          <w:color w:val="1F497D" w:themeColor="text2"/>
        </w:rPr>
        <w:t xml:space="preserve">Encourage </w:t>
      </w:r>
      <w:r w:rsidRPr="002B31D9">
        <w:rPr>
          <w:i/>
          <w:color w:val="1F497D" w:themeColor="text2"/>
        </w:rPr>
        <w:t>regional mobility</w:t>
      </w:r>
      <w:r>
        <w:rPr>
          <w:color w:val="1F497D" w:themeColor="text2"/>
        </w:rPr>
        <w:t xml:space="preserve"> by implementing appropriate zoning to implement recently completed/updated TOD plans.</w:t>
      </w:r>
    </w:p>
    <w:p w:rsidR="00426287" w:rsidRDefault="00426287" w:rsidP="00BD3EF1">
      <w:pPr>
        <w:spacing w:after="0" w:line="240" w:lineRule="auto"/>
        <w:rPr>
          <w:color w:val="1F497D" w:themeColor="text2"/>
        </w:rPr>
      </w:pPr>
    </w:p>
    <w:p w:rsidR="00AC44FA" w:rsidRDefault="00426287" w:rsidP="00BD3EF1">
      <w:pPr>
        <w:spacing w:after="0" w:line="240" w:lineRule="auto"/>
        <w:rPr>
          <w:color w:val="1F497D" w:themeColor="text2"/>
        </w:rPr>
      </w:pPr>
      <w:r w:rsidRPr="00426287">
        <w:rPr>
          <w:b/>
          <w:color w:val="1F497D" w:themeColor="text2"/>
        </w:rPr>
        <w:t>Assistance Needed</w:t>
      </w:r>
      <w:r>
        <w:rPr>
          <w:color w:val="1F497D" w:themeColor="text2"/>
        </w:rPr>
        <w:t>:</w:t>
      </w:r>
      <w:r>
        <w:rPr>
          <w:color w:val="1F497D" w:themeColor="text2"/>
        </w:rPr>
        <w:tab/>
        <w:t>Technical assistance in researching and prepa</w:t>
      </w:r>
      <w:r w:rsidR="007060FB">
        <w:rPr>
          <w:color w:val="1F497D" w:themeColor="text2"/>
        </w:rPr>
        <w:t xml:space="preserve">ring the Zoning Ordinance </w:t>
      </w:r>
      <w:r w:rsidR="002B31D9">
        <w:rPr>
          <w:color w:val="1F497D" w:themeColor="text2"/>
        </w:rPr>
        <w:t>update and preparing and updated zoning map.</w:t>
      </w:r>
      <w:r w:rsidR="007060FB">
        <w:rPr>
          <w:color w:val="1F497D" w:themeColor="text2"/>
        </w:rPr>
        <w:t xml:space="preserve">  The Village has a very limited staff, and day-to-day responsibilities do not allow the time to devote to an ordinance re-write.  The Village retains an outside planning consultant for plan review who could prepare the update – but funding</w:t>
      </w:r>
      <w:r w:rsidR="0040691E">
        <w:rPr>
          <w:color w:val="1F497D" w:themeColor="text2"/>
        </w:rPr>
        <w:t xml:space="preserve"> is not </w:t>
      </w:r>
      <w:r w:rsidR="007060FB">
        <w:rPr>
          <w:color w:val="1F497D" w:themeColor="text2"/>
        </w:rPr>
        <w:t>available for this effort.</w:t>
      </w:r>
    </w:p>
    <w:p w:rsidR="0040691E" w:rsidRDefault="0040691E" w:rsidP="00BD3EF1">
      <w:pPr>
        <w:spacing w:after="0" w:line="240" w:lineRule="auto"/>
        <w:rPr>
          <w:color w:val="1F497D" w:themeColor="text2"/>
        </w:rPr>
      </w:pPr>
    </w:p>
    <w:p w:rsidR="0040691E" w:rsidRPr="00A2187C" w:rsidRDefault="0040691E" w:rsidP="00BD3EF1">
      <w:pPr>
        <w:spacing w:after="0" w:line="240" w:lineRule="auto"/>
        <w:rPr>
          <w:color w:val="1F497D" w:themeColor="text2"/>
        </w:rPr>
      </w:pPr>
      <w:r w:rsidRPr="0040691E">
        <w:rPr>
          <w:b/>
          <w:color w:val="1F497D" w:themeColor="text2"/>
        </w:rPr>
        <w:t>Ability to Implement:</w:t>
      </w:r>
      <w:r>
        <w:rPr>
          <w:color w:val="1F497D" w:themeColor="text2"/>
        </w:rPr>
        <w:tab/>
        <w:t>With the updated zoning tools in place, the Village will be in a position to implement plans for economic development, housing, and TOD which have been developed in recent years.  The Village’s Building Commissioner and Village Administrator are both experienced in working with zoning regulations, and will be able to implement the new code.</w:t>
      </w:r>
    </w:p>
    <w:sectPr w:rsidR="0040691E" w:rsidRPr="00A2187C" w:rsidSect="00785E8B">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256F6"/>
    <w:multiLevelType w:val="hybridMultilevel"/>
    <w:tmpl w:val="A5C059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EDC7C7E"/>
    <w:multiLevelType w:val="hybridMultilevel"/>
    <w:tmpl w:val="9CCCD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1F4356"/>
    <w:multiLevelType w:val="hybridMultilevel"/>
    <w:tmpl w:val="00C6F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DD21D66"/>
    <w:multiLevelType w:val="hybridMultilevel"/>
    <w:tmpl w:val="0E9E3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AF19A0"/>
    <w:multiLevelType w:val="hybridMultilevel"/>
    <w:tmpl w:val="1B82C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57240B"/>
    <w:multiLevelType w:val="hybridMultilevel"/>
    <w:tmpl w:val="8F8ECE0E"/>
    <w:lvl w:ilvl="0" w:tplc="04090001">
      <w:start w:val="1"/>
      <w:numFmt w:val="bullet"/>
      <w:lvlText w:val=""/>
      <w:lvlJc w:val="left"/>
      <w:pPr>
        <w:ind w:left="39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start w:val="1"/>
      <w:numFmt w:val="bullet"/>
      <w:lvlText w:val=""/>
      <w:lvlJc w:val="left"/>
      <w:pPr>
        <w:ind w:left="5400" w:hanging="360"/>
      </w:pPr>
      <w:rPr>
        <w:rFonts w:ascii="Wingdings" w:hAnsi="Wingdings" w:hint="default"/>
      </w:rPr>
    </w:lvl>
    <w:lvl w:ilvl="3" w:tplc="04090001">
      <w:start w:val="1"/>
      <w:numFmt w:val="bullet"/>
      <w:lvlText w:val=""/>
      <w:lvlJc w:val="left"/>
      <w:pPr>
        <w:ind w:left="6120" w:hanging="360"/>
      </w:pPr>
      <w:rPr>
        <w:rFonts w:ascii="Symbol" w:hAnsi="Symbol" w:hint="default"/>
      </w:rPr>
    </w:lvl>
    <w:lvl w:ilvl="4" w:tplc="04090003">
      <w:start w:val="1"/>
      <w:numFmt w:val="bullet"/>
      <w:lvlText w:val="o"/>
      <w:lvlJc w:val="left"/>
      <w:pPr>
        <w:ind w:left="6840" w:hanging="360"/>
      </w:pPr>
      <w:rPr>
        <w:rFonts w:ascii="Courier New" w:hAnsi="Courier New" w:cs="Courier New" w:hint="default"/>
      </w:rPr>
    </w:lvl>
    <w:lvl w:ilvl="5" w:tplc="04090005">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6">
    <w:nsid w:val="7477573B"/>
    <w:multiLevelType w:val="hybridMultilevel"/>
    <w:tmpl w:val="6D12D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815"/>
    <w:rsid w:val="00030945"/>
    <w:rsid w:val="000732DF"/>
    <w:rsid w:val="000A5D46"/>
    <w:rsid w:val="000D1017"/>
    <w:rsid w:val="000D2DBE"/>
    <w:rsid w:val="000D53BD"/>
    <w:rsid w:val="000E17EB"/>
    <w:rsid w:val="000F2E5A"/>
    <w:rsid w:val="000F42F4"/>
    <w:rsid w:val="00100AE8"/>
    <w:rsid w:val="00124810"/>
    <w:rsid w:val="001338AB"/>
    <w:rsid w:val="00165FF6"/>
    <w:rsid w:val="001760DD"/>
    <w:rsid w:val="00197AA7"/>
    <w:rsid w:val="001A4889"/>
    <w:rsid w:val="001B7CC5"/>
    <w:rsid w:val="001C49F3"/>
    <w:rsid w:val="001D7D0A"/>
    <w:rsid w:val="001E6727"/>
    <w:rsid w:val="001E79E4"/>
    <w:rsid w:val="001F0DBE"/>
    <w:rsid w:val="00217A51"/>
    <w:rsid w:val="002409E5"/>
    <w:rsid w:val="00243B30"/>
    <w:rsid w:val="00250BFE"/>
    <w:rsid w:val="00251565"/>
    <w:rsid w:val="0025665C"/>
    <w:rsid w:val="002761F6"/>
    <w:rsid w:val="00286B3A"/>
    <w:rsid w:val="0029412E"/>
    <w:rsid w:val="002A1F2C"/>
    <w:rsid w:val="002B31D9"/>
    <w:rsid w:val="002C7D3D"/>
    <w:rsid w:val="002D5531"/>
    <w:rsid w:val="002E5DBE"/>
    <w:rsid w:val="002F5D6C"/>
    <w:rsid w:val="00300F0D"/>
    <w:rsid w:val="0032709C"/>
    <w:rsid w:val="00331242"/>
    <w:rsid w:val="003658B3"/>
    <w:rsid w:val="00366B8C"/>
    <w:rsid w:val="00380170"/>
    <w:rsid w:val="0038359A"/>
    <w:rsid w:val="00385D4B"/>
    <w:rsid w:val="00391AA3"/>
    <w:rsid w:val="003A1C52"/>
    <w:rsid w:val="003B2D65"/>
    <w:rsid w:val="003B466A"/>
    <w:rsid w:val="003B58CE"/>
    <w:rsid w:val="003B6E6D"/>
    <w:rsid w:val="003C2722"/>
    <w:rsid w:val="003D1718"/>
    <w:rsid w:val="003E755B"/>
    <w:rsid w:val="003F2651"/>
    <w:rsid w:val="003F69A3"/>
    <w:rsid w:val="003F7216"/>
    <w:rsid w:val="0040691E"/>
    <w:rsid w:val="0041243E"/>
    <w:rsid w:val="00426287"/>
    <w:rsid w:val="0043475D"/>
    <w:rsid w:val="004417EF"/>
    <w:rsid w:val="00471C0B"/>
    <w:rsid w:val="004820C2"/>
    <w:rsid w:val="00494574"/>
    <w:rsid w:val="004960F5"/>
    <w:rsid w:val="004B48FB"/>
    <w:rsid w:val="004C27B1"/>
    <w:rsid w:val="004C2D2D"/>
    <w:rsid w:val="004D28DD"/>
    <w:rsid w:val="004E2A7E"/>
    <w:rsid w:val="004E5A39"/>
    <w:rsid w:val="00501F1C"/>
    <w:rsid w:val="00503034"/>
    <w:rsid w:val="0051092D"/>
    <w:rsid w:val="00521CB5"/>
    <w:rsid w:val="0054233C"/>
    <w:rsid w:val="00551A46"/>
    <w:rsid w:val="005652A1"/>
    <w:rsid w:val="00583841"/>
    <w:rsid w:val="005A2D46"/>
    <w:rsid w:val="005A42A4"/>
    <w:rsid w:val="005A4F9C"/>
    <w:rsid w:val="005A6D52"/>
    <w:rsid w:val="005D1982"/>
    <w:rsid w:val="005D5587"/>
    <w:rsid w:val="005E1EA1"/>
    <w:rsid w:val="005F3760"/>
    <w:rsid w:val="006068FD"/>
    <w:rsid w:val="00630E16"/>
    <w:rsid w:val="006518D3"/>
    <w:rsid w:val="00653FE9"/>
    <w:rsid w:val="0066477B"/>
    <w:rsid w:val="00682EE2"/>
    <w:rsid w:val="006857A5"/>
    <w:rsid w:val="00692260"/>
    <w:rsid w:val="006C4FF7"/>
    <w:rsid w:val="006D39D3"/>
    <w:rsid w:val="006D5F29"/>
    <w:rsid w:val="006F0AF7"/>
    <w:rsid w:val="007039DF"/>
    <w:rsid w:val="007049D8"/>
    <w:rsid w:val="007060FB"/>
    <w:rsid w:val="0072012B"/>
    <w:rsid w:val="007428F1"/>
    <w:rsid w:val="0077509D"/>
    <w:rsid w:val="007769C8"/>
    <w:rsid w:val="00781DD2"/>
    <w:rsid w:val="00784C55"/>
    <w:rsid w:val="00785E8B"/>
    <w:rsid w:val="007900EF"/>
    <w:rsid w:val="00791A32"/>
    <w:rsid w:val="00792533"/>
    <w:rsid w:val="007C1B3B"/>
    <w:rsid w:val="007C67CE"/>
    <w:rsid w:val="0080672E"/>
    <w:rsid w:val="00812756"/>
    <w:rsid w:val="008303BF"/>
    <w:rsid w:val="008435B0"/>
    <w:rsid w:val="00843F95"/>
    <w:rsid w:val="00857A67"/>
    <w:rsid w:val="00862920"/>
    <w:rsid w:val="008A2C38"/>
    <w:rsid w:val="008B0368"/>
    <w:rsid w:val="008B56F0"/>
    <w:rsid w:val="008C7BA3"/>
    <w:rsid w:val="008D14F3"/>
    <w:rsid w:val="008E1FE9"/>
    <w:rsid w:val="008E673A"/>
    <w:rsid w:val="00900796"/>
    <w:rsid w:val="00915D15"/>
    <w:rsid w:val="00925BE9"/>
    <w:rsid w:val="009264D6"/>
    <w:rsid w:val="0094558B"/>
    <w:rsid w:val="00960D44"/>
    <w:rsid w:val="00981A13"/>
    <w:rsid w:val="009871A8"/>
    <w:rsid w:val="00993C47"/>
    <w:rsid w:val="009A57ED"/>
    <w:rsid w:val="009D653C"/>
    <w:rsid w:val="00A0020D"/>
    <w:rsid w:val="00A05B33"/>
    <w:rsid w:val="00A105B3"/>
    <w:rsid w:val="00A10645"/>
    <w:rsid w:val="00A177CA"/>
    <w:rsid w:val="00A2187C"/>
    <w:rsid w:val="00A35EEA"/>
    <w:rsid w:val="00A4718E"/>
    <w:rsid w:val="00A55FA4"/>
    <w:rsid w:val="00A67363"/>
    <w:rsid w:val="00A67AF7"/>
    <w:rsid w:val="00A822AD"/>
    <w:rsid w:val="00A84672"/>
    <w:rsid w:val="00A87642"/>
    <w:rsid w:val="00AA455E"/>
    <w:rsid w:val="00AC44FA"/>
    <w:rsid w:val="00AC6943"/>
    <w:rsid w:val="00AC6D36"/>
    <w:rsid w:val="00AC759D"/>
    <w:rsid w:val="00AC7E14"/>
    <w:rsid w:val="00AD4BCE"/>
    <w:rsid w:val="00AF4C75"/>
    <w:rsid w:val="00AF4CFF"/>
    <w:rsid w:val="00B55284"/>
    <w:rsid w:val="00B638FE"/>
    <w:rsid w:val="00B73F2A"/>
    <w:rsid w:val="00B917EB"/>
    <w:rsid w:val="00BB6A0C"/>
    <w:rsid w:val="00BC318B"/>
    <w:rsid w:val="00BC3AB2"/>
    <w:rsid w:val="00BD3EF1"/>
    <w:rsid w:val="00BF5BC2"/>
    <w:rsid w:val="00BF65C6"/>
    <w:rsid w:val="00C05F13"/>
    <w:rsid w:val="00C167F6"/>
    <w:rsid w:val="00C22340"/>
    <w:rsid w:val="00C27815"/>
    <w:rsid w:val="00C42067"/>
    <w:rsid w:val="00C561F1"/>
    <w:rsid w:val="00C65C16"/>
    <w:rsid w:val="00C76CFE"/>
    <w:rsid w:val="00C7724E"/>
    <w:rsid w:val="00C81F4C"/>
    <w:rsid w:val="00C8325C"/>
    <w:rsid w:val="00C8708A"/>
    <w:rsid w:val="00C95539"/>
    <w:rsid w:val="00C95C38"/>
    <w:rsid w:val="00CA3595"/>
    <w:rsid w:val="00CA64D7"/>
    <w:rsid w:val="00CE5447"/>
    <w:rsid w:val="00D42F1D"/>
    <w:rsid w:val="00D5327E"/>
    <w:rsid w:val="00D551C3"/>
    <w:rsid w:val="00D55DA7"/>
    <w:rsid w:val="00D65F68"/>
    <w:rsid w:val="00D82483"/>
    <w:rsid w:val="00D96C8E"/>
    <w:rsid w:val="00DA2DAF"/>
    <w:rsid w:val="00DB1DF6"/>
    <w:rsid w:val="00DC5D57"/>
    <w:rsid w:val="00DD320B"/>
    <w:rsid w:val="00DD3CE4"/>
    <w:rsid w:val="00DE6128"/>
    <w:rsid w:val="00DF3D82"/>
    <w:rsid w:val="00DF7E94"/>
    <w:rsid w:val="00E7585D"/>
    <w:rsid w:val="00EA5472"/>
    <w:rsid w:val="00EA5EAA"/>
    <w:rsid w:val="00EC574A"/>
    <w:rsid w:val="00EE011A"/>
    <w:rsid w:val="00EE21A6"/>
    <w:rsid w:val="00F10E85"/>
    <w:rsid w:val="00F273EE"/>
    <w:rsid w:val="00F34D20"/>
    <w:rsid w:val="00F5543A"/>
    <w:rsid w:val="00F671FC"/>
    <w:rsid w:val="00F97537"/>
    <w:rsid w:val="00F97FB7"/>
    <w:rsid w:val="00FB5C69"/>
    <w:rsid w:val="00FC1B21"/>
    <w:rsid w:val="00FD0549"/>
    <w:rsid w:val="00FD7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EAA"/>
    <w:pPr>
      <w:ind w:left="720"/>
      <w:contextualSpacing/>
    </w:pPr>
  </w:style>
  <w:style w:type="character" w:customStyle="1" w:styleId="apple-style-span">
    <w:name w:val="apple-style-span"/>
    <w:basedOn w:val="DefaultParagraphFont"/>
    <w:rsid w:val="00A67AF7"/>
  </w:style>
  <w:style w:type="character" w:styleId="CommentReference">
    <w:name w:val="annotation reference"/>
    <w:basedOn w:val="DefaultParagraphFont"/>
    <w:uiPriority w:val="99"/>
    <w:semiHidden/>
    <w:unhideWhenUsed/>
    <w:rsid w:val="007428F1"/>
    <w:rPr>
      <w:sz w:val="16"/>
      <w:szCs w:val="16"/>
    </w:rPr>
  </w:style>
  <w:style w:type="paragraph" w:styleId="CommentText">
    <w:name w:val="annotation text"/>
    <w:basedOn w:val="Normal"/>
    <w:link w:val="CommentTextChar"/>
    <w:uiPriority w:val="99"/>
    <w:semiHidden/>
    <w:unhideWhenUsed/>
    <w:rsid w:val="007428F1"/>
    <w:pPr>
      <w:spacing w:line="240" w:lineRule="auto"/>
    </w:pPr>
    <w:rPr>
      <w:sz w:val="20"/>
      <w:szCs w:val="20"/>
    </w:rPr>
  </w:style>
  <w:style w:type="character" w:customStyle="1" w:styleId="CommentTextChar">
    <w:name w:val="Comment Text Char"/>
    <w:basedOn w:val="DefaultParagraphFont"/>
    <w:link w:val="CommentText"/>
    <w:uiPriority w:val="99"/>
    <w:semiHidden/>
    <w:rsid w:val="007428F1"/>
    <w:rPr>
      <w:sz w:val="20"/>
      <w:szCs w:val="20"/>
    </w:rPr>
  </w:style>
  <w:style w:type="paragraph" w:styleId="CommentSubject">
    <w:name w:val="annotation subject"/>
    <w:basedOn w:val="CommentText"/>
    <w:next w:val="CommentText"/>
    <w:link w:val="CommentSubjectChar"/>
    <w:uiPriority w:val="99"/>
    <w:semiHidden/>
    <w:unhideWhenUsed/>
    <w:rsid w:val="007428F1"/>
    <w:rPr>
      <w:b/>
      <w:bCs/>
    </w:rPr>
  </w:style>
  <w:style w:type="character" w:customStyle="1" w:styleId="CommentSubjectChar">
    <w:name w:val="Comment Subject Char"/>
    <w:basedOn w:val="CommentTextChar"/>
    <w:link w:val="CommentSubject"/>
    <w:uiPriority w:val="99"/>
    <w:semiHidden/>
    <w:rsid w:val="007428F1"/>
    <w:rPr>
      <w:b/>
      <w:bCs/>
      <w:sz w:val="20"/>
      <w:szCs w:val="20"/>
    </w:rPr>
  </w:style>
  <w:style w:type="paragraph" w:styleId="BalloonText">
    <w:name w:val="Balloon Text"/>
    <w:basedOn w:val="Normal"/>
    <w:link w:val="BalloonTextChar"/>
    <w:uiPriority w:val="99"/>
    <w:semiHidden/>
    <w:unhideWhenUsed/>
    <w:rsid w:val="00742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8F1"/>
    <w:rPr>
      <w:rFonts w:ascii="Tahoma" w:hAnsi="Tahoma" w:cs="Tahoma"/>
      <w:sz w:val="16"/>
      <w:szCs w:val="16"/>
    </w:rPr>
  </w:style>
  <w:style w:type="character" w:styleId="IntenseEmphasis">
    <w:name w:val="Intense Emphasis"/>
    <w:basedOn w:val="DefaultParagraphFont"/>
    <w:uiPriority w:val="21"/>
    <w:qFormat/>
    <w:rsid w:val="007428F1"/>
    <w:rPr>
      <w:b/>
      <w:bCs/>
      <w:i/>
      <w:iCs/>
      <w:color w:val="4F81BD" w:themeColor="accent1"/>
    </w:rPr>
  </w:style>
  <w:style w:type="paragraph" w:styleId="Revision">
    <w:name w:val="Revision"/>
    <w:hidden/>
    <w:uiPriority w:val="99"/>
    <w:semiHidden/>
    <w:rsid w:val="00030945"/>
    <w:pPr>
      <w:spacing w:after="0" w:line="240" w:lineRule="auto"/>
    </w:pPr>
  </w:style>
  <w:style w:type="character" w:styleId="Hyperlink">
    <w:name w:val="Hyperlink"/>
    <w:basedOn w:val="DefaultParagraphFont"/>
    <w:uiPriority w:val="99"/>
    <w:unhideWhenUsed/>
    <w:rsid w:val="0072012B"/>
    <w:rPr>
      <w:color w:val="0000FF" w:themeColor="hyperlink"/>
      <w:u w:val="single"/>
    </w:rPr>
  </w:style>
  <w:style w:type="character" w:styleId="FollowedHyperlink">
    <w:name w:val="FollowedHyperlink"/>
    <w:basedOn w:val="DefaultParagraphFont"/>
    <w:uiPriority w:val="99"/>
    <w:semiHidden/>
    <w:unhideWhenUsed/>
    <w:rsid w:val="00AC7E14"/>
    <w:rPr>
      <w:color w:val="800080" w:themeColor="followedHyperlink"/>
      <w:u w:val="single"/>
    </w:rPr>
  </w:style>
  <w:style w:type="table" w:styleId="TableGrid">
    <w:name w:val="Table Grid"/>
    <w:basedOn w:val="TableNormal"/>
    <w:uiPriority w:val="59"/>
    <w:rsid w:val="006D39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1">
    <w:name w:val="Grid Table 4 Accent 1"/>
    <w:basedOn w:val="TableNormal"/>
    <w:uiPriority w:val="49"/>
    <w:rsid w:val="00AC44FA"/>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EAA"/>
    <w:pPr>
      <w:ind w:left="720"/>
      <w:contextualSpacing/>
    </w:pPr>
  </w:style>
  <w:style w:type="character" w:customStyle="1" w:styleId="apple-style-span">
    <w:name w:val="apple-style-span"/>
    <w:basedOn w:val="DefaultParagraphFont"/>
    <w:rsid w:val="00A67AF7"/>
  </w:style>
  <w:style w:type="character" w:styleId="CommentReference">
    <w:name w:val="annotation reference"/>
    <w:basedOn w:val="DefaultParagraphFont"/>
    <w:uiPriority w:val="99"/>
    <w:semiHidden/>
    <w:unhideWhenUsed/>
    <w:rsid w:val="007428F1"/>
    <w:rPr>
      <w:sz w:val="16"/>
      <w:szCs w:val="16"/>
    </w:rPr>
  </w:style>
  <w:style w:type="paragraph" w:styleId="CommentText">
    <w:name w:val="annotation text"/>
    <w:basedOn w:val="Normal"/>
    <w:link w:val="CommentTextChar"/>
    <w:uiPriority w:val="99"/>
    <w:semiHidden/>
    <w:unhideWhenUsed/>
    <w:rsid w:val="007428F1"/>
    <w:pPr>
      <w:spacing w:line="240" w:lineRule="auto"/>
    </w:pPr>
    <w:rPr>
      <w:sz w:val="20"/>
      <w:szCs w:val="20"/>
    </w:rPr>
  </w:style>
  <w:style w:type="character" w:customStyle="1" w:styleId="CommentTextChar">
    <w:name w:val="Comment Text Char"/>
    <w:basedOn w:val="DefaultParagraphFont"/>
    <w:link w:val="CommentText"/>
    <w:uiPriority w:val="99"/>
    <w:semiHidden/>
    <w:rsid w:val="007428F1"/>
    <w:rPr>
      <w:sz w:val="20"/>
      <w:szCs w:val="20"/>
    </w:rPr>
  </w:style>
  <w:style w:type="paragraph" w:styleId="CommentSubject">
    <w:name w:val="annotation subject"/>
    <w:basedOn w:val="CommentText"/>
    <w:next w:val="CommentText"/>
    <w:link w:val="CommentSubjectChar"/>
    <w:uiPriority w:val="99"/>
    <w:semiHidden/>
    <w:unhideWhenUsed/>
    <w:rsid w:val="007428F1"/>
    <w:rPr>
      <w:b/>
      <w:bCs/>
    </w:rPr>
  </w:style>
  <w:style w:type="character" w:customStyle="1" w:styleId="CommentSubjectChar">
    <w:name w:val="Comment Subject Char"/>
    <w:basedOn w:val="CommentTextChar"/>
    <w:link w:val="CommentSubject"/>
    <w:uiPriority w:val="99"/>
    <w:semiHidden/>
    <w:rsid w:val="007428F1"/>
    <w:rPr>
      <w:b/>
      <w:bCs/>
      <w:sz w:val="20"/>
      <w:szCs w:val="20"/>
    </w:rPr>
  </w:style>
  <w:style w:type="paragraph" w:styleId="BalloonText">
    <w:name w:val="Balloon Text"/>
    <w:basedOn w:val="Normal"/>
    <w:link w:val="BalloonTextChar"/>
    <w:uiPriority w:val="99"/>
    <w:semiHidden/>
    <w:unhideWhenUsed/>
    <w:rsid w:val="00742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8F1"/>
    <w:rPr>
      <w:rFonts w:ascii="Tahoma" w:hAnsi="Tahoma" w:cs="Tahoma"/>
      <w:sz w:val="16"/>
      <w:szCs w:val="16"/>
    </w:rPr>
  </w:style>
  <w:style w:type="character" w:styleId="IntenseEmphasis">
    <w:name w:val="Intense Emphasis"/>
    <w:basedOn w:val="DefaultParagraphFont"/>
    <w:uiPriority w:val="21"/>
    <w:qFormat/>
    <w:rsid w:val="007428F1"/>
    <w:rPr>
      <w:b/>
      <w:bCs/>
      <w:i/>
      <w:iCs/>
      <w:color w:val="4F81BD" w:themeColor="accent1"/>
    </w:rPr>
  </w:style>
  <w:style w:type="paragraph" w:styleId="Revision">
    <w:name w:val="Revision"/>
    <w:hidden/>
    <w:uiPriority w:val="99"/>
    <w:semiHidden/>
    <w:rsid w:val="00030945"/>
    <w:pPr>
      <w:spacing w:after="0" w:line="240" w:lineRule="auto"/>
    </w:pPr>
  </w:style>
  <w:style w:type="character" w:styleId="Hyperlink">
    <w:name w:val="Hyperlink"/>
    <w:basedOn w:val="DefaultParagraphFont"/>
    <w:uiPriority w:val="99"/>
    <w:unhideWhenUsed/>
    <w:rsid w:val="0072012B"/>
    <w:rPr>
      <w:color w:val="0000FF" w:themeColor="hyperlink"/>
      <w:u w:val="single"/>
    </w:rPr>
  </w:style>
  <w:style w:type="character" w:styleId="FollowedHyperlink">
    <w:name w:val="FollowedHyperlink"/>
    <w:basedOn w:val="DefaultParagraphFont"/>
    <w:uiPriority w:val="99"/>
    <w:semiHidden/>
    <w:unhideWhenUsed/>
    <w:rsid w:val="00AC7E14"/>
    <w:rPr>
      <w:color w:val="800080" w:themeColor="followedHyperlink"/>
      <w:u w:val="single"/>
    </w:rPr>
  </w:style>
  <w:style w:type="table" w:styleId="TableGrid">
    <w:name w:val="Table Grid"/>
    <w:basedOn w:val="TableNormal"/>
    <w:uiPriority w:val="59"/>
    <w:rsid w:val="006D39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4Accent1">
    <w:name w:val="Grid Table 4 Accent 1"/>
    <w:basedOn w:val="TableNormal"/>
    <w:uiPriority w:val="49"/>
    <w:rsid w:val="00AC44FA"/>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tachicago.com/applications" TargetMode="External"/><Relationship Id="rId13" Type="http://schemas.openxmlformats.org/officeDocument/2006/relationships/hyperlink" Target="http://www.cmap.illinois.gov/programs-and-resources/lta/olympia-fields" TargetMode="External"/><Relationship Id="rId3" Type="http://schemas.openxmlformats.org/officeDocument/2006/relationships/styles" Target="styles.xml"/><Relationship Id="rId7" Type="http://schemas.openxmlformats.org/officeDocument/2006/relationships/image" Target="media/image1.tiff"/><Relationship Id="rId12" Type="http://schemas.openxmlformats.org/officeDocument/2006/relationships/hyperlink" Target="http://www.epa.gov/smartgrowth/sg_guidelines.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illageofparkforest.com/DocumentCenter/View/665" TargetMode="External"/><Relationship Id="rId5" Type="http://schemas.openxmlformats.org/officeDocument/2006/relationships/settings" Target="settings.xml"/><Relationship Id="rId15" Type="http://schemas.openxmlformats.org/officeDocument/2006/relationships/hyperlink" Target="http://www.metroplanning.org/multimedia/publication/546" TargetMode="External"/><Relationship Id="rId10" Type="http://schemas.openxmlformats.org/officeDocument/2006/relationships/hyperlink" Target="mailto:DMekarski@olympia-fields.com" TargetMode="External"/><Relationship Id="rId4" Type="http://schemas.microsoft.com/office/2007/relationships/stylesWithEffects" Target="stylesWithEffects.xml"/><Relationship Id="rId9" Type="http://schemas.openxmlformats.org/officeDocument/2006/relationships/hyperlink" Target="mailto:applications@rtachicago.com" TargetMode="External"/><Relationship Id="rId14" Type="http://schemas.openxmlformats.org/officeDocument/2006/relationships/hyperlink" Target="http://www.teskaassociates.com/SouthSuburbs/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B1618-B5CF-4764-92A9-BC4610F6B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1234</Words>
  <Characters>7037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Chicago Metropolitan Agency For Planning</Company>
  <LinksUpToDate>false</LinksUpToDate>
  <CharactersWithSpaces>8255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sostrander</dc:creator>
  <cp:lastModifiedBy>Tabbert, Heather</cp:lastModifiedBy>
  <cp:revision>2</cp:revision>
  <cp:lastPrinted>2012-05-07T19:38:00Z</cp:lastPrinted>
  <dcterms:created xsi:type="dcterms:W3CDTF">2014-06-25T20:34:00Z</dcterms:created>
  <dcterms:modified xsi:type="dcterms:W3CDTF">2014-06-25T20:34:00Z</dcterms:modified>
</cp:coreProperties>
</file>