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A2F3" w14:textId="77777777" w:rsidR="005E04F4" w:rsidRDefault="005E04F4" w:rsidP="005E04F4">
      <w:pPr>
        <w:rPr>
          <w:rFonts w:ascii="Arial" w:hAnsi="Arial" w:cs="Arial"/>
          <w:b/>
          <w:sz w:val="28"/>
        </w:rPr>
      </w:pPr>
    </w:p>
    <w:p w14:paraId="07C334C0" w14:textId="77777777" w:rsidR="005E04F4" w:rsidRDefault="005E04F4" w:rsidP="005E04F4">
      <w:pPr>
        <w:rPr>
          <w:rFonts w:ascii="Arial" w:hAnsi="Arial" w:cs="Arial"/>
          <w:b/>
          <w:sz w:val="28"/>
        </w:rPr>
      </w:pPr>
    </w:p>
    <w:p w14:paraId="66CB4F96" w14:textId="77777777" w:rsidR="005E04F4" w:rsidRDefault="005E04F4" w:rsidP="005E04F4">
      <w:pPr>
        <w:rPr>
          <w:rFonts w:ascii="Arial" w:hAnsi="Arial" w:cs="Arial"/>
          <w:b/>
          <w:sz w:val="28"/>
        </w:rPr>
      </w:pPr>
    </w:p>
    <w:p w14:paraId="20B92348" w14:textId="77777777" w:rsidR="005E04F4" w:rsidRDefault="005E04F4" w:rsidP="005E04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98B494F" w14:textId="77777777" w:rsidR="005E04F4" w:rsidRPr="00DA4A19" w:rsidRDefault="005E04F4" w:rsidP="005E04F4">
      <w:pPr>
        <w:jc w:val="center"/>
        <w:outlineLvl w:val="0"/>
        <w:rPr>
          <w:b/>
          <w:sz w:val="28"/>
          <w:szCs w:val="28"/>
        </w:rPr>
      </w:pPr>
      <w:r w:rsidRPr="00DA4A19">
        <w:rPr>
          <w:b/>
          <w:sz w:val="28"/>
          <w:szCs w:val="28"/>
        </w:rPr>
        <w:t>MEMORANDUM</w:t>
      </w:r>
    </w:p>
    <w:p w14:paraId="6F8858D4" w14:textId="77777777" w:rsidR="005E04F4" w:rsidRDefault="005E04F4" w:rsidP="005E04F4"/>
    <w:p w14:paraId="5CC4A40A" w14:textId="43D2F19E" w:rsidR="005E04F4" w:rsidRPr="00EC3FB5" w:rsidRDefault="005E04F4" w:rsidP="005E04F4">
      <w:pPr>
        <w:tabs>
          <w:tab w:val="left" w:pos="1170"/>
        </w:tabs>
        <w:outlineLvl w:val="0"/>
        <w:rPr>
          <w:u w:val="single"/>
        </w:rPr>
      </w:pPr>
      <w:r w:rsidRPr="00A14A96">
        <w:rPr>
          <w:b/>
        </w:rPr>
        <w:t>To</w:t>
      </w:r>
      <w:r w:rsidRPr="003853B2">
        <w:rPr>
          <w:b/>
        </w:rPr>
        <w:t>:</w:t>
      </w:r>
      <w:r w:rsidRPr="00AF2ECE">
        <w:rPr>
          <w:b/>
        </w:rPr>
        <w:t xml:space="preserve"> </w:t>
      </w:r>
      <w:r w:rsidRPr="003853B2">
        <w:rPr>
          <w:b/>
        </w:rPr>
        <w:tab/>
      </w:r>
      <w:r w:rsidR="008E3F3A">
        <w:rPr>
          <w:b/>
        </w:rPr>
        <w:t>Housing</w:t>
      </w:r>
      <w:r w:rsidR="00D5634D">
        <w:rPr>
          <w:b/>
        </w:rPr>
        <w:t xml:space="preserve"> </w:t>
      </w:r>
      <w:r>
        <w:rPr>
          <w:b/>
        </w:rPr>
        <w:t>Committee</w:t>
      </w:r>
    </w:p>
    <w:p w14:paraId="7ED60A8A" w14:textId="77777777" w:rsidR="005E04F4" w:rsidRPr="00A14A96" w:rsidRDefault="005E04F4" w:rsidP="005E04F4">
      <w:pPr>
        <w:tabs>
          <w:tab w:val="left" w:pos="1170"/>
        </w:tabs>
        <w:rPr>
          <w:b/>
          <w:u w:val="single"/>
        </w:rPr>
      </w:pPr>
    </w:p>
    <w:p w14:paraId="745F5A73" w14:textId="77777777" w:rsidR="005E04F4" w:rsidRPr="003853B2" w:rsidRDefault="005E04F4" w:rsidP="005E04F4">
      <w:pPr>
        <w:tabs>
          <w:tab w:val="left" w:pos="1170"/>
        </w:tabs>
      </w:pPr>
      <w:r>
        <w:rPr>
          <w:b/>
        </w:rPr>
        <w:t>From</w:t>
      </w:r>
      <w:r w:rsidRPr="003853B2">
        <w:rPr>
          <w:b/>
        </w:rPr>
        <w:t xml:space="preserve">: </w:t>
      </w:r>
      <w:r w:rsidRPr="003853B2">
        <w:tab/>
      </w:r>
      <w:r>
        <w:t>CMAP Staff</w:t>
      </w:r>
    </w:p>
    <w:p w14:paraId="091DD39C" w14:textId="77777777" w:rsidR="005E04F4" w:rsidRDefault="005E04F4" w:rsidP="005E04F4">
      <w:pPr>
        <w:tabs>
          <w:tab w:val="left" w:pos="1170"/>
        </w:tabs>
        <w:rPr>
          <w:b/>
          <w:u w:val="single"/>
        </w:rPr>
      </w:pPr>
    </w:p>
    <w:p w14:paraId="584BB574" w14:textId="1E1C54D1" w:rsidR="005E04F4" w:rsidRPr="003853B2" w:rsidRDefault="005E04F4" w:rsidP="005E04F4">
      <w:pPr>
        <w:tabs>
          <w:tab w:val="left" w:pos="1170"/>
        </w:tabs>
      </w:pPr>
      <w:r>
        <w:rPr>
          <w:b/>
        </w:rPr>
        <w:t>Date</w:t>
      </w:r>
      <w:r w:rsidRPr="003853B2">
        <w:rPr>
          <w:b/>
        </w:rPr>
        <w:t>:</w:t>
      </w:r>
      <w:r w:rsidRPr="003853B2">
        <w:t xml:space="preserve"> </w:t>
      </w:r>
      <w:r w:rsidRPr="003853B2">
        <w:tab/>
      </w:r>
      <w:r w:rsidR="008E7D7D" w:rsidRPr="008E7D7D">
        <w:t xml:space="preserve">May </w:t>
      </w:r>
      <w:r w:rsidR="00C01BC3">
        <w:t>11</w:t>
      </w:r>
      <w:r w:rsidR="00C03E15" w:rsidRPr="008E7D7D">
        <w:t>,</w:t>
      </w:r>
      <w:r w:rsidR="00C03E15">
        <w:t xml:space="preserve"> 2016</w:t>
      </w:r>
    </w:p>
    <w:p w14:paraId="6B7CFC4E" w14:textId="77777777" w:rsidR="005E04F4" w:rsidRPr="00A14A96" w:rsidRDefault="005E04F4" w:rsidP="005E04F4">
      <w:pPr>
        <w:tabs>
          <w:tab w:val="left" w:pos="1170"/>
        </w:tabs>
        <w:rPr>
          <w:b/>
          <w:u w:val="single"/>
        </w:rPr>
      </w:pPr>
    </w:p>
    <w:p w14:paraId="34E81C05" w14:textId="77777777" w:rsidR="005E04F4" w:rsidRPr="00FB4777" w:rsidRDefault="005E04F4" w:rsidP="005E04F4">
      <w:pPr>
        <w:ind w:left="1170" w:hanging="1170"/>
      </w:pPr>
      <w:r>
        <w:rPr>
          <w:b/>
        </w:rPr>
        <w:t>Re</w:t>
      </w:r>
      <w:r w:rsidRPr="003853B2">
        <w:rPr>
          <w:b/>
        </w:rPr>
        <w:t>:</w:t>
      </w:r>
      <w:r w:rsidRPr="003853B2">
        <w:t xml:space="preserve"> </w:t>
      </w:r>
      <w:r w:rsidRPr="003853B2">
        <w:tab/>
      </w:r>
      <w:r w:rsidR="00011E3C">
        <w:t>Place-based approach: universe of layers</w:t>
      </w:r>
    </w:p>
    <w:p w14:paraId="4787C402" w14:textId="77777777" w:rsidR="005E04F4" w:rsidRDefault="005E04F4" w:rsidP="005E04F4">
      <w:pPr>
        <w:pBdr>
          <w:bottom w:val="thinThickThinMediumGap" w:sz="18" w:space="1" w:color="auto"/>
        </w:pBdr>
        <w:jc w:val="center"/>
      </w:pPr>
    </w:p>
    <w:p w14:paraId="3E77528C" w14:textId="77777777" w:rsidR="005E04F4" w:rsidRDefault="005E04F4" w:rsidP="0030233F"/>
    <w:p w14:paraId="02A6AC31" w14:textId="2C112399" w:rsidR="00B1272A" w:rsidRDefault="000D1194" w:rsidP="0030233F">
      <w:r>
        <w:t xml:space="preserve">A “place-based approach” is a framework for </w:t>
      </w:r>
      <w:r w:rsidR="00541D24">
        <w:t>catering the content of a regional plan to local (and other</w:t>
      </w:r>
      <w:r w:rsidR="00350DE1">
        <w:t>) partners</w:t>
      </w:r>
      <w:r w:rsidR="00541D24">
        <w:t xml:space="preserve"> through more spatially specific recommendations.</w:t>
      </w:r>
      <w:r>
        <w:t xml:space="preserve"> </w:t>
      </w:r>
      <w:r w:rsidR="00D84E9B">
        <w:t>Earlier this year</w:t>
      </w:r>
      <w:r w:rsidR="00B1272A">
        <w:t xml:space="preserve">, </w:t>
      </w:r>
      <w:r>
        <w:t xml:space="preserve">CMAP </w:t>
      </w:r>
      <w:r w:rsidR="00B1272A">
        <w:t xml:space="preserve">staff </w:t>
      </w:r>
      <w:hyperlink r:id="rId9" w:history="1">
        <w:r w:rsidRPr="00D84E9B">
          <w:rPr>
            <w:rStyle w:val="Hyperlink"/>
          </w:rPr>
          <w:t>introduced</w:t>
        </w:r>
      </w:hyperlink>
      <w:r>
        <w:t xml:space="preserve"> the working committees to two place-based approaches – typologies and layers – and recommended incorporating the layers approach into ON TO 2050. </w:t>
      </w:r>
      <w:r w:rsidR="00D84E9B">
        <w:t xml:space="preserve">The layers approach </w:t>
      </w:r>
      <w:r w:rsidR="0034275A">
        <w:t>will</w:t>
      </w:r>
      <w:r w:rsidR="00D84E9B">
        <w:t xml:space="preserve"> be used to further </w:t>
      </w:r>
      <w:r w:rsidR="004760DA">
        <w:t>key</w:t>
      </w:r>
      <w:r w:rsidR="00D84E9B">
        <w:t xml:space="preserve"> policy areas in ON TO 2050 by mapping data related to </w:t>
      </w:r>
      <w:r w:rsidR="00752069">
        <w:t>each</w:t>
      </w:r>
      <w:r w:rsidR="00D84E9B">
        <w:t xml:space="preserve"> policy area and </w:t>
      </w:r>
      <w:r w:rsidR="00752069">
        <w:t xml:space="preserve">using the maps </w:t>
      </w:r>
      <w:r w:rsidR="0034275A">
        <w:t xml:space="preserve">and contextual information </w:t>
      </w:r>
      <w:r w:rsidR="00752069">
        <w:t xml:space="preserve">to </w:t>
      </w:r>
      <w:r w:rsidR="00D84E9B">
        <w:t>provid</w:t>
      </w:r>
      <w:r w:rsidR="00752069">
        <w:t>e</w:t>
      </w:r>
      <w:r w:rsidR="00D84E9B">
        <w:t xml:space="preserve"> more specific, sub-regional guidance pertinent to local partners and other stakeholders.</w:t>
      </w:r>
      <w:r>
        <w:t xml:space="preserve"> The layers approach </w:t>
      </w:r>
      <w:r w:rsidR="00C01BC3">
        <w:t>will</w:t>
      </w:r>
      <w:r>
        <w:t xml:space="preserve"> integrate well with ongoing plan </w:t>
      </w:r>
      <w:proofErr w:type="gramStart"/>
      <w:r>
        <w:t>development,</w:t>
      </w:r>
      <w:proofErr w:type="gramEnd"/>
      <w:r>
        <w:t xml:space="preserve"> allow the plan to speak more specifically about a wide range of topics, and provide valuable data, information, and guidance to partners.  </w:t>
      </w:r>
    </w:p>
    <w:p w14:paraId="4F28736C" w14:textId="77777777" w:rsidR="00B1272A" w:rsidRDefault="00B1272A" w:rsidP="0030233F"/>
    <w:p w14:paraId="2ED9D267" w14:textId="46049CAD" w:rsidR="00923684" w:rsidRDefault="00541D24" w:rsidP="00923684">
      <w:r>
        <w:t>Two primary activities are underway to further develop the layers approach. First, two pilot layers</w:t>
      </w:r>
      <w:r w:rsidR="0037037A">
        <w:t xml:space="preserve"> – high quality natural areas and high priority reinvestment areas –</w:t>
      </w:r>
      <w:r>
        <w:t xml:space="preserve"> are</w:t>
      </w:r>
      <w:r w:rsidR="0037037A">
        <w:t xml:space="preserve"> </w:t>
      </w:r>
      <w:r>
        <w:t xml:space="preserve">being </w:t>
      </w:r>
      <w:hyperlink r:id="rId10" w:history="1">
        <w:r w:rsidRPr="005D115B">
          <w:rPr>
            <w:rStyle w:val="Hyperlink"/>
          </w:rPr>
          <w:t>developed</w:t>
        </w:r>
      </w:hyperlink>
      <w:r>
        <w:t xml:space="preserve"> </w:t>
      </w:r>
      <w:r w:rsidR="0037037A">
        <w:t xml:space="preserve">to test out the approach, determine how layers could be integrated in the regional plan, and estimate the level of effort associated with developing layers. Second, </w:t>
      </w:r>
      <w:r w:rsidR="005D115B">
        <w:t xml:space="preserve">CMAP </w:t>
      </w:r>
      <w:proofErr w:type="gramStart"/>
      <w:r w:rsidR="005D115B">
        <w:t>staff have</w:t>
      </w:r>
      <w:proofErr w:type="gramEnd"/>
      <w:r w:rsidR="005D115B">
        <w:t xml:space="preserve"> created an initial “universe of layers” that correspond to the policy areas being explored for ON TO 2050.</w:t>
      </w:r>
      <w:r w:rsidR="00983978">
        <w:t xml:space="preserve"> </w:t>
      </w:r>
      <w:r w:rsidR="0034275A">
        <w:t xml:space="preserve">This list of potential layers </w:t>
      </w:r>
      <w:r w:rsidR="00EE4FE0">
        <w:t>is</w:t>
      </w:r>
      <w:r w:rsidR="00923684">
        <w:t xml:space="preserve"> a starting point for discussion with working committees and partners, </w:t>
      </w:r>
      <w:r w:rsidR="00DC3649">
        <w:t>and</w:t>
      </w:r>
      <w:r w:rsidR="00752069">
        <w:t xml:space="preserve"> will</w:t>
      </w:r>
      <w:r w:rsidR="00EE4FE0">
        <w:t xml:space="preserve"> inform </w:t>
      </w:r>
      <w:r w:rsidR="00752069">
        <w:t xml:space="preserve">additional layers to be </w:t>
      </w:r>
      <w:r w:rsidR="0034275A">
        <w:t>considered</w:t>
      </w:r>
      <w:r w:rsidR="00752069">
        <w:t xml:space="preserve"> as well as </w:t>
      </w:r>
      <w:r w:rsidR="00EE4FE0">
        <w:t xml:space="preserve">the </w:t>
      </w:r>
      <w:r w:rsidR="0034275A">
        <w:t>selection</w:t>
      </w:r>
      <w:r w:rsidR="00EE4FE0">
        <w:t xml:space="preserve"> of</w:t>
      </w:r>
      <w:r w:rsidR="00923684">
        <w:t xml:space="preserve"> layers to be developed as part of the plan’s development. </w:t>
      </w:r>
      <w:proofErr w:type="gramStart"/>
      <w:r w:rsidR="00923684">
        <w:t>Staff are</w:t>
      </w:r>
      <w:proofErr w:type="gramEnd"/>
      <w:r w:rsidR="00923684">
        <w:t xml:space="preserve"> seeking feedback </w:t>
      </w:r>
      <w:r w:rsidR="00C70D40">
        <w:t xml:space="preserve">and guidance </w:t>
      </w:r>
      <w:r w:rsidR="00923684">
        <w:t xml:space="preserve">on the initial universe of layers, particularly as </w:t>
      </w:r>
      <w:r w:rsidR="00EE4FE0">
        <w:t xml:space="preserve">the proposed layers </w:t>
      </w:r>
      <w:r w:rsidR="00923684">
        <w:t xml:space="preserve">relate to </w:t>
      </w:r>
      <w:r w:rsidR="008E3F3A">
        <w:t>the Housing</w:t>
      </w:r>
      <w:r w:rsidR="00923684">
        <w:t xml:space="preserve"> Committee</w:t>
      </w:r>
      <w:r w:rsidR="00EE4FE0">
        <w:t xml:space="preserve"> member</w:t>
      </w:r>
      <w:r w:rsidR="00923684">
        <w:t>s’ areas of expertise.</w:t>
      </w:r>
    </w:p>
    <w:p w14:paraId="6A30D4C6" w14:textId="77777777" w:rsidR="00293E8F" w:rsidRDefault="00293E8F" w:rsidP="0030233F"/>
    <w:p w14:paraId="6E5F9F45" w14:textId="1549B27E" w:rsidR="003E7438" w:rsidRPr="003E7438" w:rsidRDefault="00923684" w:rsidP="003E7438">
      <w:pPr>
        <w:rPr>
          <w:b/>
        </w:rPr>
      </w:pPr>
      <w:r>
        <w:rPr>
          <w:b/>
        </w:rPr>
        <w:t>Universe of</w:t>
      </w:r>
      <w:r w:rsidR="003E7438" w:rsidRPr="003E7438">
        <w:rPr>
          <w:b/>
        </w:rPr>
        <w:t xml:space="preserve"> layers</w:t>
      </w:r>
    </w:p>
    <w:p w14:paraId="0D06E678" w14:textId="056E07EA" w:rsidR="004403B5" w:rsidRDefault="003E7438" w:rsidP="0030233F">
      <w:r>
        <w:t>To</w:t>
      </w:r>
      <w:r w:rsidR="00923684">
        <w:t xml:space="preserve"> develop the initial universe</w:t>
      </w:r>
      <w:r w:rsidR="00A660D1">
        <w:t xml:space="preserve"> of </w:t>
      </w:r>
      <w:r>
        <w:t>layer</w:t>
      </w:r>
      <w:r w:rsidR="0022215F">
        <w:t xml:space="preserve">s, CMAP staff considered </w:t>
      </w:r>
      <w:r w:rsidR="00495E0C">
        <w:t>ON TO 2050’s</w:t>
      </w:r>
      <w:r>
        <w:t xml:space="preserve"> ongoing and upcoming </w:t>
      </w:r>
      <w:r w:rsidR="00495E0C">
        <w:t xml:space="preserve">policy development </w:t>
      </w:r>
      <w:r w:rsidR="0022215F">
        <w:t>work</w:t>
      </w:r>
      <w:r w:rsidR="00C37E6F">
        <w:t>,</w:t>
      </w:r>
      <w:r w:rsidR="0022215F">
        <w:t xml:space="preserve"> </w:t>
      </w:r>
      <w:r>
        <w:t xml:space="preserve">and which particular policy areas might benefit from an increased level of </w:t>
      </w:r>
      <w:r w:rsidR="004403B5">
        <w:t xml:space="preserve">spatial </w:t>
      </w:r>
      <w:r>
        <w:t xml:space="preserve">detail. </w:t>
      </w:r>
      <w:r w:rsidR="00C37E6F">
        <w:t xml:space="preserve">The purpose of layers is not solely to provide data sets or descriptive maps. Rather, layers </w:t>
      </w:r>
      <w:r w:rsidR="00DC3649">
        <w:t>should</w:t>
      </w:r>
      <w:r w:rsidR="00C37E6F">
        <w:t xml:space="preserve"> shed light onto a priority policy area and inform more specific recommendations for plan implementers. </w:t>
      </w:r>
    </w:p>
    <w:p w14:paraId="33FB18B0" w14:textId="77777777" w:rsidR="00C37E6F" w:rsidRDefault="00C37E6F" w:rsidP="0030233F"/>
    <w:p w14:paraId="5C642227" w14:textId="77777777" w:rsidR="00DC3649" w:rsidRDefault="00DC3649">
      <w:pPr>
        <w:spacing w:after="200" w:line="276" w:lineRule="auto"/>
      </w:pPr>
      <w:r>
        <w:br w:type="page"/>
      </w:r>
    </w:p>
    <w:p w14:paraId="42EEF6DF" w14:textId="469850E4" w:rsidR="00C37E6F" w:rsidRDefault="00C37E6F" w:rsidP="0030233F">
      <w:r>
        <w:lastRenderedPageBreak/>
        <w:t>I</w:t>
      </w:r>
      <w:r w:rsidR="00DC3649">
        <w:t xml:space="preserve">n assessing </w:t>
      </w:r>
      <w:r>
        <w:t xml:space="preserve">potential layers, staff </w:t>
      </w:r>
      <w:r w:rsidR="00BA047F">
        <w:t>used</w:t>
      </w:r>
      <w:r>
        <w:t xml:space="preserve"> several screening questions:</w:t>
      </w:r>
    </w:p>
    <w:p w14:paraId="6D7208D5" w14:textId="1EE944EE" w:rsidR="00C37E6F" w:rsidRDefault="00C37E6F" w:rsidP="00C37E6F">
      <w:pPr>
        <w:pStyle w:val="ListParagraph"/>
        <w:numPr>
          <w:ilvl w:val="0"/>
          <w:numId w:val="10"/>
        </w:numPr>
      </w:pPr>
      <w:r>
        <w:t xml:space="preserve">Does the layer relate to a key policy area </w:t>
      </w:r>
      <w:r w:rsidR="00F35DA8">
        <w:t>for</w:t>
      </w:r>
      <w:r>
        <w:t xml:space="preserve"> ON TO 2050?</w:t>
      </w:r>
    </w:p>
    <w:p w14:paraId="1545CDA1" w14:textId="692D82EC" w:rsidR="00F35DA8" w:rsidRDefault="00F35DA8" w:rsidP="00F35DA8">
      <w:pPr>
        <w:pStyle w:val="ListParagraph"/>
        <w:numPr>
          <w:ilvl w:val="0"/>
          <w:numId w:val="10"/>
        </w:numPr>
      </w:pPr>
      <w:r>
        <w:t xml:space="preserve">Would the layer inform better and more specific recommendations? </w:t>
      </w:r>
      <w:r w:rsidR="00DC3649">
        <w:t>What recommendations might come from the layer’s development?</w:t>
      </w:r>
    </w:p>
    <w:p w14:paraId="369EDE9E" w14:textId="56B40ED0" w:rsidR="00C37E6F" w:rsidRDefault="00C37E6F" w:rsidP="00C37E6F">
      <w:pPr>
        <w:pStyle w:val="ListParagraph"/>
        <w:numPr>
          <w:ilvl w:val="0"/>
          <w:numId w:val="10"/>
        </w:numPr>
      </w:pPr>
      <w:r>
        <w:t xml:space="preserve">Can we reasonably assume that the layer </w:t>
      </w:r>
      <w:r w:rsidR="00F35DA8">
        <w:t>will</w:t>
      </w:r>
      <w:r>
        <w:t xml:space="preserve"> help forward implementation of the regional plan by inspiring action among local implementers?</w:t>
      </w:r>
    </w:p>
    <w:p w14:paraId="23F2C2F3" w14:textId="77777777" w:rsidR="003E752F" w:rsidRDefault="003E752F" w:rsidP="003E752F">
      <w:pPr>
        <w:pStyle w:val="ListParagraph"/>
        <w:numPr>
          <w:ilvl w:val="0"/>
          <w:numId w:val="10"/>
        </w:numPr>
      </w:pPr>
      <w:r>
        <w:t>How complex is the layer to create? Would consensus-building among partners be necessary to ensure implementation of the recommendations associated with the layer?</w:t>
      </w:r>
    </w:p>
    <w:p w14:paraId="656E171F" w14:textId="3C245E83" w:rsidR="003E7438" w:rsidRDefault="00C37E6F" w:rsidP="00D93062">
      <w:pPr>
        <w:pStyle w:val="ListParagraph"/>
        <w:numPr>
          <w:ilvl w:val="0"/>
          <w:numId w:val="10"/>
        </w:numPr>
      </w:pPr>
      <w:r>
        <w:t xml:space="preserve">Do we have access to the data or information </w:t>
      </w:r>
      <w:r w:rsidR="00B328E1">
        <w:t>needed</w:t>
      </w:r>
      <w:r>
        <w:t xml:space="preserve"> to create the layer?</w:t>
      </w:r>
    </w:p>
    <w:p w14:paraId="4B79E03F" w14:textId="77777777" w:rsidR="003E7438" w:rsidRDefault="003E7438" w:rsidP="0030233F"/>
    <w:p w14:paraId="1D9C9E84" w14:textId="799E6F2A" w:rsidR="003E7438" w:rsidRDefault="003E7438" w:rsidP="0030233F">
      <w:r>
        <w:t xml:space="preserve">The following potential layers </w:t>
      </w:r>
      <w:r w:rsidR="00C37E6F">
        <w:t>are</w:t>
      </w:r>
      <w:r>
        <w:t xml:space="preserve"> especially relevant for the </w:t>
      </w:r>
      <w:r w:rsidR="008E3F3A">
        <w:t>Housing</w:t>
      </w:r>
      <w:r>
        <w:t xml:space="preserve"> Committee</w:t>
      </w:r>
      <w:r w:rsidR="00092B5F">
        <w:t>’</w:t>
      </w:r>
      <w:r>
        <w:t>s</w:t>
      </w:r>
      <w:r w:rsidR="00400C93">
        <w:t xml:space="preserve"> consideration</w:t>
      </w:r>
      <w:r>
        <w:t xml:space="preserve">. In addition, the universe of </w:t>
      </w:r>
      <w:r w:rsidR="006555FA">
        <w:t>other</w:t>
      </w:r>
      <w:r>
        <w:t xml:space="preserve"> potential layers is shown in Table 1.</w:t>
      </w:r>
      <w:r w:rsidR="00CB20FD">
        <w:t xml:space="preserve"> Committee </w:t>
      </w:r>
      <w:proofErr w:type="gramStart"/>
      <w:r w:rsidR="00CB20FD">
        <w:t>feedback on these potential layers, as well as additional ideas, are</w:t>
      </w:r>
      <w:proofErr w:type="gramEnd"/>
      <w:r w:rsidR="00CB20FD">
        <w:t xml:space="preserve"> welcomed.</w:t>
      </w:r>
    </w:p>
    <w:p w14:paraId="44576CFB" w14:textId="77777777" w:rsidR="00092B5F" w:rsidRDefault="00092B5F" w:rsidP="00092B5F">
      <w:pPr>
        <w:pStyle w:val="ListParagraph"/>
        <w:numPr>
          <w:ilvl w:val="0"/>
          <w:numId w:val="9"/>
        </w:numPr>
      </w:pPr>
      <w:r w:rsidRPr="00C33E08">
        <w:rPr>
          <w:b/>
        </w:rPr>
        <w:t>Infill opportunity areas</w:t>
      </w:r>
      <w:r>
        <w:t xml:space="preserve">: identify broad areas in the region that are </w:t>
      </w:r>
      <w:proofErr w:type="gramStart"/>
      <w:r>
        <w:t>prime</w:t>
      </w:r>
      <w:proofErr w:type="gramEnd"/>
      <w:r>
        <w:t xml:space="preserve"> for infill. May ultimately subsume other proposed layers, such as high priority reinvestment areas or disinvested areas, and include other target locations for infill as well</w:t>
      </w:r>
    </w:p>
    <w:p w14:paraId="68FCB561" w14:textId="77777777" w:rsidR="00092B5F" w:rsidRDefault="00092B5F" w:rsidP="00092B5F">
      <w:pPr>
        <w:pStyle w:val="ListParagraph"/>
        <w:numPr>
          <w:ilvl w:val="0"/>
          <w:numId w:val="9"/>
        </w:numPr>
      </w:pPr>
      <w:r w:rsidRPr="00C33E08">
        <w:rPr>
          <w:b/>
        </w:rPr>
        <w:t>High priority reinvestment areas</w:t>
      </w:r>
      <w:r>
        <w:t xml:space="preserve">: development is ongoing. This layer will aggregate areas of high priority for reinvestment as identified by local plans </w:t>
      </w:r>
    </w:p>
    <w:p w14:paraId="41C74AD1" w14:textId="77777777" w:rsidR="00092B5F" w:rsidRDefault="00092B5F" w:rsidP="00092B5F">
      <w:pPr>
        <w:pStyle w:val="ListParagraph"/>
        <w:numPr>
          <w:ilvl w:val="0"/>
          <w:numId w:val="9"/>
        </w:numPr>
      </w:pPr>
      <w:r w:rsidRPr="00C33E08">
        <w:rPr>
          <w:b/>
        </w:rPr>
        <w:t>Disinvested areas</w:t>
      </w:r>
      <w:r>
        <w:t>: to be determined by ongoing plan development work on reinvestment and infill as well as inclusive growth</w:t>
      </w:r>
    </w:p>
    <w:p w14:paraId="158E0214" w14:textId="03F27E0E" w:rsidR="00092B5F" w:rsidRDefault="00092B5F" w:rsidP="0022215F">
      <w:pPr>
        <w:pStyle w:val="ListParagraph"/>
        <w:numPr>
          <w:ilvl w:val="0"/>
          <w:numId w:val="9"/>
        </w:numPr>
      </w:pPr>
      <w:r w:rsidRPr="00092B5F">
        <w:rPr>
          <w:b/>
        </w:rPr>
        <w:t>Critical growth areas:</w:t>
      </w:r>
      <w:r>
        <w:t xml:space="preserve"> identify land not yet developed within the municipal envelope in transitional parts of the region</w:t>
      </w:r>
    </w:p>
    <w:p w14:paraId="7D496A7A" w14:textId="48B5F913" w:rsidR="00092B5F" w:rsidRDefault="00092B5F" w:rsidP="0022215F">
      <w:pPr>
        <w:pStyle w:val="ListParagraph"/>
        <w:numPr>
          <w:ilvl w:val="0"/>
          <w:numId w:val="9"/>
        </w:numPr>
      </w:pPr>
      <w:r>
        <w:rPr>
          <w:b/>
        </w:rPr>
        <w:t>Housing market areas:</w:t>
      </w:r>
      <w:r>
        <w:t xml:space="preserve"> </w:t>
      </w:r>
      <w:r w:rsidRPr="00092B5F">
        <w:t>group areas with similar socioeconomic and physical characteristics for future collaborative housing planning</w:t>
      </w:r>
      <w:r>
        <w:t xml:space="preserve"> (through Homes for a Changing Region or other independent processes)</w:t>
      </w:r>
    </w:p>
    <w:p w14:paraId="08213562" w14:textId="4D928AC1" w:rsidR="00092B5F" w:rsidRPr="00092B5F" w:rsidRDefault="00092B5F" w:rsidP="0022215F">
      <w:pPr>
        <w:pStyle w:val="ListParagraph"/>
        <w:numPr>
          <w:ilvl w:val="0"/>
          <w:numId w:val="9"/>
        </w:numPr>
      </w:pPr>
      <w:r>
        <w:rPr>
          <w:b/>
        </w:rPr>
        <w:t>Housing opportunity areas:</w:t>
      </w:r>
      <w:r>
        <w:t xml:space="preserve"> </w:t>
      </w:r>
      <w:r w:rsidRPr="00092B5F">
        <w:t xml:space="preserve">areas with stable housing, as well as low crime, good schools, access to jobs, and many amenities. These areas were identified in the </w:t>
      </w:r>
      <w:r>
        <w:t>CMAP’s</w:t>
      </w:r>
      <w:r w:rsidRPr="00092B5F">
        <w:t xml:space="preserve"> </w:t>
      </w:r>
      <w:hyperlink r:id="rId11" w:history="1">
        <w:r w:rsidRPr="00092B5F">
          <w:rPr>
            <w:rStyle w:val="Hyperlink"/>
          </w:rPr>
          <w:t>Fair Housing and Equity Assessment</w:t>
        </w:r>
      </w:hyperlink>
      <w:r w:rsidRPr="00092B5F">
        <w:t>, but could be refined for ON TO 2050</w:t>
      </w:r>
    </w:p>
    <w:p w14:paraId="41C36567" w14:textId="718115DD" w:rsidR="008A2BF9" w:rsidRDefault="008A2BF9" w:rsidP="0022215F">
      <w:pPr>
        <w:pStyle w:val="ListParagraph"/>
        <w:numPr>
          <w:ilvl w:val="0"/>
          <w:numId w:val="9"/>
        </w:numPr>
      </w:pPr>
      <w:r w:rsidRPr="008006D7">
        <w:rPr>
          <w:b/>
        </w:rPr>
        <w:t>Vulnerable populations</w:t>
      </w:r>
      <w:r w:rsidR="00400C93" w:rsidRPr="008006D7">
        <w:t>:</w:t>
      </w:r>
      <w:r w:rsidR="00400C93">
        <w:t xml:space="preserve"> </w:t>
      </w:r>
      <w:r w:rsidR="007604A3">
        <w:t xml:space="preserve">development is ongoing. </w:t>
      </w:r>
      <w:r w:rsidR="00736EF0">
        <w:t xml:space="preserve">The inclusive growth team </w:t>
      </w:r>
      <w:r w:rsidR="007604A3">
        <w:t xml:space="preserve">has identified a vulnerable </w:t>
      </w:r>
      <w:proofErr w:type="gramStart"/>
      <w:r w:rsidR="007604A3">
        <w:t>populations</w:t>
      </w:r>
      <w:proofErr w:type="gramEnd"/>
      <w:r w:rsidR="007604A3">
        <w:t xml:space="preserve"> definition that includes</w:t>
      </w:r>
      <w:r w:rsidR="00736EF0">
        <w:t xml:space="preserve"> low-income </w:t>
      </w:r>
      <w:r w:rsidR="003B387A">
        <w:t>l</w:t>
      </w:r>
      <w:r w:rsidR="00736EF0">
        <w:t>imited English proficient</w:t>
      </w:r>
      <w:r w:rsidR="003B387A">
        <w:t xml:space="preserve"> or minority</w:t>
      </w:r>
      <w:r w:rsidR="00736EF0">
        <w:t xml:space="preserve"> </w:t>
      </w:r>
      <w:r w:rsidR="00566208">
        <w:t>residents</w:t>
      </w:r>
      <w:r w:rsidR="003B387A">
        <w:t>. Vulnerable populations may also include other characteristics</w:t>
      </w:r>
      <w:r w:rsidR="00773C4B">
        <w:t>, such as seniors or disabled residents,</w:t>
      </w:r>
      <w:r w:rsidR="003B387A">
        <w:t xml:space="preserve"> for other policy areas</w:t>
      </w:r>
      <w:r w:rsidR="007604A3">
        <w:t xml:space="preserve">. Staff is </w:t>
      </w:r>
      <w:r w:rsidR="00773C4B">
        <w:t>in the process of</w:t>
      </w:r>
      <w:r w:rsidR="007604A3">
        <w:t xml:space="preserve"> refin</w:t>
      </w:r>
      <w:r w:rsidR="00E32D0A">
        <w:t>ing the</w:t>
      </w:r>
      <w:r w:rsidR="007604A3">
        <w:t xml:space="preserve"> terminology </w:t>
      </w:r>
      <w:r w:rsidR="00773C4B">
        <w:t>used to describe</w:t>
      </w:r>
      <w:r w:rsidR="007604A3">
        <w:t xml:space="preserve"> vulnerable populations </w:t>
      </w:r>
    </w:p>
    <w:p w14:paraId="79DD5ECF" w14:textId="77777777" w:rsidR="00895A22" w:rsidRDefault="00895A22" w:rsidP="0030233F"/>
    <w:p w14:paraId="20FF8758" w14:textId="77777777" w:rsidR="00AB3BE2" w:rsidRDefault="00F82CB9" w:rsidP="00AB3BE2">
      <w:pPr>
        <w:rPr>
          <w:b/>
        </w:rPr>
      </w:pPr>
      <w:r w:rsidRPr="00F82CB9">
        <w:t>ACTION REQUESTED: Discussion</w:t>
      </w:r>
    </w:p>
    <w:p w14:paraId="176E8FF4" w14:textId="77777777" w:rsidR="00AB3BE2" w:rsidRDefault="00AB3BE2" w:rsidP="00AB3BE2">
      <w:pPr>
        <w:rPr>
          <w:b/>
        </w:rPr>
      </w:pPr>
    </w:p>
    <w:p w14:paraId="5F14BFD1" w14:textId="77777777" w:rsidR="00AD486B" w:rsidRDefault="00AD486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531DDBF" w14:textId="2CE64982" w:rsidR="003E7438" w:rsidRPr="00133074" w:rsidRDefault="003E7438" w:rsidP="00AB3BE2">
      <w:pPr>
        <w:rPr>
          <w:b/>
        </w:rPr>
      </w:pPr>
      <w:proofErr w:type="gramStart"/>
      <w:r w:rsidRPr="003E7438">
        <w:rPr>
          <w:b/>
        </w:rPr>
        <w:lastRenderedPageBreak/>
        <w:t>Table 1.</w:t>
      </w:r>
      <w:proofErr w:type="gramEnd"/>
      <w:r w:rsidRPr="00133074">
        <w:rPr>
          <w:b/>
        </w:rPr>
        <w:t xml:space="preserve"> Universe of </w:t>
      </w:r>
      <w:r w:rsidR="006555FA">
        <w:rPr>
          <w:b/>
        </w:rPr>
        <w:t xml:space="preserve">Other </w:t>
      </w:r>
      <w:r w:rsidR="00CB20FD">
        <w:rPr>
          <w:b/>
        </w:rPr>
        <w:t xml:space="preserve">Potential </w:t>
      </w:r>
      <w:r w:rsidRPr="00133074">
        <w:rPr>
          <w:b/>
        </w:rPr>
        <w:t>Layers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3E7438" w14:paraId="7B4E52BB" w14:textId="77777777" w:rsidTr="00983978">
        <w:tc>
          <w:tcPr>
            <w:tcW w:w="3708" w:type="dxa"/>
            <w:shd w:val="clear" w:color="auto" w:fill="F2F2F2" w:themeFill="background1" w:themeFillShade="F2"/>
          </w:tcPr>
          <w:p w14:paraId="4514CFB6" w14:textId="77777777" w:rsidR="003E7438" w:rsidRPr="0067269F" w:rsidRDefault="003E7438" w:rsidP="00145998">
            <w:pPr>
              <w:rPr>
                <w:b/>
              </w:rPr>
            </w:pPr>
            <w:r w:rsidRPr="0067269F">
              <w:rPr>
                <w:b/>
              </w:rPr>
              <w:t>Transportation</w:t>
            </w:r>
          </w:p>
        </w:tc>
        <w:tc>
          <w:tcPr>
            <w:tcW w:w="5868" w:type="dxa"/>
            <w:shd w:val="clear" w:color="auto" w:fill="F2F2F2" w:themeFill="background1" w:themeFillShade="F2"/>
          </w:tcPr>
          <w:p w14:paraId="4A716577" w14:textId="77777777" w:rsidR="003E7438" w:rsidRPr="0067269F" w:rsidRDefault="003E7438" w:rsidP="00145998">
            <w:pPr>
              <w:rPr>
                <w:b/>
              </w:rPr>
            </w:pPr>
            <w:r w:rsidRPr="0067269F">
              <w:rPr>
                <w:b/>
              </w:rPr>
              <w:t>Description</w:t>
            </w:r>
          </w:p>
        </w:tc>
      </w:tr>
      <w:tr w:rsidR="003E7438" w14:paraId="358967DC" w14:textId="77777777" w:rsidTr="00983978">
        <w:tc>
          <w:tcPr>
            <w:tcW w:w="3708" w:type="dxa"/>
          </w:tcPr>
          <w:p w14:paraId="06C8BB3C" w14:textId="2FE08730" w:rsidR="003E7438" w:rsidRDefault="003E7438" w:rsidP="00145998">
            <w:r>
              <w:t>Regionally significant projects</w:t>
            </w:r>
            <w:r w:rsidR="00100480">
              <w:t xml:space="preserve"> (RSPs)</w:t>
            </w:r>
          </w:p>
        </w:tc>
        <w:tc>
          <w:tcPr>
            <w:tcW w:w="5868" w:type="dxa"/>
          </w:tcPr>
          <w:p w14:paraId="5DC3A478" w14:textId="7F90E079" w:rsidR="003E7438" w:rsidRDefault="001F63D8" w:rsidP="00145998">
            <w:r>
              <w:t>Ongoing; f</w:t>
            </w:r>
            <w:r w:rsidR="00B334A9">
              <w:t xml:space="preserve">iscally constrained </w:t>
            </w:r>
            <w:r w:rsidR="00A85538">
              <w:t>capital</w:t>
            </w:r>
            <w:r w:rsidR="00B334A9">
              <w:t xml:space="preserve"> projects</w:t>
            </w:r>
          </w:p>
        </w:tc>
      </w:tr>
      <w:tr w:rsidR="00A85538" w14:paraId="5363020D" w14:textId="77777777" w:rsidTr="00983978">
        <w:tc>
          <w:tcPr>
            <w:tcW w:w="3708" w:type="dxa"/>
          </w:tcPr>
          <w:p w14:paraId="35412AFF" w14:textId="108DCC2C" w:rsidR="00A85538" w:rsidRDefault="00A85538" w:rsidP="006555FA">
            <w:r>
              <w:t xml:space="preserve">Highway </w:t>
            </w:r>
            <w:r w:rsidR="006555FA">
              <w:t>needs and opportunities</w:t>
            </w:r>
          </w:p>
        </w:tc>
        <w:tc>
          <w:tcPr>
            <w:tcW w:w="5868" w:type="dxa"/>
          </w:tcPr>
          <w:p w14:paraId="201B539A" w14:textId="2ADE6597" w:rsidR="00A85538" w:rsidRDefault="00A85538" w:rsidP="00AB3BE2">
            <w:r>
              <w:t xml:space="preserve">Recommended corridors </w:t>
            </w:r>
            <w:r w:rsidR="00AB3BE2">
              <w:t xml:space="preserve">for </w:t>
            </w:r>
            <w:r>
              <w:t>operations strategies</w:t>
            </w:r>
            <w:r w:rsidR="006555FA">
              <w:t xml:space="preserve"> and priority corridors to implement congestion pricing</w:t>
            </w:r>
          </w:p>
        </w:tc>
      </w:tr>
      <w:tr w:rsidR="003E7438" w14:paraId="49CDF20A" w14:textId="77777777" w:rsidTr="00983978">
        <w:tc>
          <w:tcPr>
            <w:tcW w:w="3708" w:type="dxa"/>
          </w:tcPr>
          <w:p w14:paraId="7BF5E51F" w14:textId="69279BD5" w:rsidR="003E7438" w:rsidRDefault="006555FA" w:rsidP="00145998">
            <w:r>
              <w:t>Transit needs and opportunities</w:t>
            </w:r>
          </w:p>
        </w:tc>
        <w:tc>
          <w:tcPr>
            <w:tcW w:w="5868" w:type="dxa"/>
          </w:tcPr>
          <w:p w14:paraId="2363E17B" w14:textId="4128A8CC" w:rsidR="003E7438" w:rsidRDefault="006555FA" w:rsidP="00145998">
            <w:r>
              <w:t>Areas and facilities presenting significant opportunities for transit; will be informed by RTA Strategic Plan</w:t>
            </w:r>
          </w:p>
        </w:tc>
      </w:tr>
      <w:tr w:rsidR="003E7438" w14:paraId="37749293" w14:textId="77777777" w:rsidTr="00983978">
        <w:tc>
          <w:tcPr>
            <w:tcW w:w="3708" w:type="dxa"/>
          </w:tcPr>
          <w:p w14:paraId="7CCB58F9" w14:textId="56B91B68" w:rsidR="003E7438" w:rsidRDefault="003E7438" w:rsidP="00145998">
            <w:r>
              <w:t>Critical Urban Freight Corridors</w:t>
            </w:r>
            <w:r w:rsidR="00100480">
              <w:t xml:space="preserve"> and other components of</w:t>
            </w:r>
            <w:r w:rsidR="003C1792">
              <w:t xml:space="preserve"> </w:t>
            </w:r>
            <w:r w:rsidR="00A85538">
              <w:t>National Highway Freight N</w:t>
            </w:r>
            <w:r w:rsidR="00100480">
              <w:t>etwork</w:t>
            </w:r>
          </w:p>
        </w:tc>
        <w:tc>
          <w:tcPr>
            <w:tcW w:w="5868" w:type="dxa"/>
          </w:tcPr>
          <w:p w14:paraId="20214584" w14:textId="72C9CC0E" w:rsidR="003E7438" w:rsidRDefault="00145998" w:rsidP="006555FA">
            <w:r>
              <w:t xml:space="preserve">Ongoing; </w:t>
            </w:r>
            <w:r w:rsidR="006555FA">
              <w:t>p</w:t>
            </w:r>
            <w:r w:rsidR="00100480">
              <w:t>riority freight corridors to receive funding through the FAST Act</w:t>
            </w:r>
          </w:p>
        </w:tc>
      </w:tr>
      <w:tr w:rsidR="003E7438" w14:paraId="6E459A5F" w14:textId="77777777" w:rsidTr="00983978">
        <w:tc>
          <w:tcPr>
            <w:tcW w:w="3708" w:type="dxa"/>
          </w:tcPr>
          <w:p w14:paraId="0E27DF08" w14:textId="77777777" w:rsidR="003E7438" w:rsidRDefault="003E7438" w:rsidP="00145998">
            <w:r>
              <w:t>Freight planning areas</w:t>
            </w:r>
          </w:p>
        </w:tc>
        <w:tc>
          <w:tcPr>
            <w:tcW w:w="5868" w:type="dxa"/>
          </w:tcPr>
          <w:p w14:paraId="2AA3F047" w14:textId="4C63E8A3" w:rsidR="003E7438" w:rsidRDefault="00100480" w:rsidP="00145998">
            <w:r>
              <w:t>Concentrations of freight assets and freight-supportive land uses</w:t>
            </w:r>
          </w:p>
        </w:tc>
      </w:tr>
      <w:tr w:rsidR="003E7438" w14:paraId="521C8B99" w14:textId="77777777" w:rsidTr="00983978">
        <w:tc>
          <w:tcPr>
            <w:tcW w:w="3708" w:type="dxa"/>
          </w:tcPr>
          <w:p w14:paraId="7F4032C2" w14:textId="7A4EA565" w:rsidR="003E7438" w:rsidRDefault="006555FA" w:rsidP="00145998">
            <w:r>
              <w:t>Regional</w:t>
            </w:r>
            <w:r w:rsidR="003E7438">
              <w:t xml:space="preserve"> trails</w:t>
            </w:r>
          </w:p>
        </w:tc>
        <w:tc>
          <w:tcPr>
            <w:tcW w:w="5868" w:type="dxa"/>
          </w:tcPr>
          <w:p w14:paraId="5CE82D3E" w14:textId="362C0369" w:rsidR="003E7438" w:rsidRDefault="00934BAB" w:rsidP="00145998">
            <w:r>
              <w:t>Ongoing; existing and proposed regional trails</w:t>
            </w:r>
            <w:r w:rsidR="006555FA">
              <w:t xml:space="preserve"> per the Greenways and Trails Plan update</w:t>
            </w:r>
          </w:p>
        </w:tc>
      </w:tr>
      <w:tr w:rsidR="003E7438" w14:paraId="6D2E73AC" w14:textId="77777777" w:rsidTr="00983978">
        <w:tc>
          <w:tcPr>
            <w:tcW w:w="3708" w:type="dxa"/>
            <w:shd w:val="clear" w:color="auto" w:fill="F2F2F2" w:themeFill="background1" w:themeFillShade="F2"/>
          </w:tcPr>
          <w:p w14:paraId="1D86EABC" w14:textId="77777777" w:rsidR="003E7438" w:rsidRPr="0067269F" w:rsidRDefault="003E7438" w:rsidP="00145998">
            <w:pPr>
              <w:rPr>
                <w:b/>
              </w:rPr>
            </w:pPr>
            <w:r w:rsidRPr="0067269F">
              <w:rPr>
                <w:b/>
              </w:rPr>
              <w:t>Land Use</w:t>
            </w:r>
          </w:p>
        </w:tc>
        <w:tc>
          <w:tcPr>
            <w:tcW w:w="5868" w:type="dxa"/>
            <w:shd w:val="clear" w:color="auto" w:fill="F2F2F2" w:themeFill="background1" w:themeFillShade="F2"/>
          </w:tcPr>
          <w:p w14:paraId="5BE7F853" w14:textId="77777777" w:rsidR="003E7438" w:rsidRPr="0067269F" w:rsidRDefault="003E7438" w:rsidP="00145998">
            <w:pPr>
              <w:rPr>
                <w:b/>
              </w:rPr>
            </w:pPr>
            <w:r w:rsidRPr="0067269F">
              <w:rPr>
                <w:b/>
              </w:rPr>
              <w:t>Description</w:t>
            </w:r>
          </w:p>
        </w:tc>
      </w:tr>
      <w:tr w:rsidR="00092B5F" w14:paraId="61BE2504" w14:textId="77777777" w:rsidTr="00983978">
        <w:tc>
          <w:tcPr>
            <w:tcW w:w="3708" w:type="dxa"/>
          </w:tcPr>
          <w:p w14:paraId="10513059" w14:textId="77777777" w:rsidR="00092B5F" w:rsidRDefault="00092B5F" w:rsidP="00145998">
            <w:r>
              <w:t>Key agricultural areas</w:t>
            </w:r>
          </w:p>
        </w:tc>
        <w:tc>
          <w:tcPr>
            <w:tcW w:w="5868" w:type="dxa"/>
          </w:tcPr>
          <w:p w14:paraId="15B87DC8" w14:textId="6A3FE5C9" w:rsidR="00092B5F" w:rsidRDefault="00092B5F" w:rsidP="00145998">
            <w:r>
              <w:t>Areas with high quality soils and critical massing of farms that are prime for agricultural preservation</w:t>
            </w:r>
          </w:p>
        </w:tc>
      </w:tr>
      <w:tr w:rsidR="00092B5F" w14:paraId="3EBF7DF2" w14:textId="77777777" w:rsidTr="00983978">
        <w:tc>
          <w:tcPr>
            <w:tcW w:w="3708" w:type="dxa"/>
            <w:shd w:val="clear" w:color="auto" w:fill="F2F2F2" w:themeFill="background1" w:themeFillShade="F2"/>
          </w:tcPr>
          <w:p w14:paraId="5E471685" w14:textId="4E2FEDCB" w:rsidR="00092B5F" w:rsidRPr="0067269F" w:rsidRDefault="00092B5F" w:rsidP="00145998">
            <w:pPr>
              <w:rPr>
                <w:b/>
              </w:rPr>
            </w:pPr>
            <w:r>
              <w:rPr>
                <w:b/>
              </w:rPr>
              <w:t>Economy</w:t>
            </w:r>
          </w:p>
        </w:tc>
        <w:tc>
          <w:tcPr>
            <w:tcW w:w="5868" w:type="dxa"/>
            <w:shd w:val="clear" w:color="auto" w:fill="F2F2F2" w:themeFill="background1" w:themeFillShade="F2"/>
          </w:tcPr>
          <w:p w14:paraId="6837C64E" w14:textId="1FC25D50" w:rsidR="00092B5F" w:rsidRDefault="00092B5F" w:rsidP="0014599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92B5F" w14:paraId="001F68A8" w14:textId="77777777" w:rsidTr="00B46AA0">
        <w:tc>
          <w:tcPr>
            <w:tcW w:w="3708" w:type="dxa"/>
            <w:shd w:val="clear" w:color="auto" w:fill="auto"/>
          </w:tcPr>
          <w:p w14:paraId="47CF310B" w14:textId="7E82945C" w:rsidR="00092B5F" w:rsidRPr="00B46AA0" w:rsidRDefault="00092B5F" w:rsidP="00145998">
            <w:pPr>
              <w:rPr>
                <w:b/>
              </w:rPr>
            </w:pPr>
            <w:r w:rsidRPr="00B46AA0">
              <w:t>Employment centers</w:t>
            </w:r>
          </w:p>
        </w:tc>
        <w:tc>
          <w:tcPr>
            <w:tcW w:w="5868" w:type="dxa"/>
            <w:shd w:val="clear" w:color="auto" w:fill="auto"/>
          </w:tcPr>
          <w:p w14:paraId="72995A05" w14:textId="72828681" w:rsidR="00092B5F" w:rsidRPr="00B46AA0" w:rsidRDefault="00092B5F" w:rsidP="00145998">
            <w:pPr>
              <w:rPr>
                <w:b/>
              </w:rPr>
            </w:pPr>
            <w:r w:rsidRPr="00B46AA0">
              <w:t>Industrial and commercial employment concentrations</w:t>
            </w:r>
          </w:p>
        </w:tc>
      </w:tr>
      <w:tr w:rsidR="00092B5F" w14:paraId="47B52174" w14:textId="77777777" w:rsidTr="00B46AA0">
        <w:tc>
          <w:tcPr>
            <w:tcW w:w="3708" w:type="dxa"/>
            <w:shd w:val="clear" w:color="auto" w:fill="auto"/>
          </w:tcPr>
          <w:p w14:paraId="37263C76" w14:textId="12F01C56" w:rsidR="00092B5F" w:rsidRPr="00B46AA0" w:rsidRDefault="00092B5F" w:rsidP="00145998">
            <w:pPr>
              <w:rPr>
                <w:b/>
              </w:rPr>
            </w:pPr>
            <w:r w:rsidRPr="00B46AA0">
              <w:t>Municipal tax base or base growth</w:t>
            </w:r>
          </w:p>
        </w:tc>
        <w:tc>
          <w:tcPr>
            <w:tcW w:w="5868" w:type="dxa"/>
            <w:shd w:val="clear" w:color="auto" w:fill="auto"/>
          </w:tcPr>
          <w:p w14:paraId="50EA4DBD" w14:textId="28118CE5" w:rsidR="00092B5F" w:rsidRPr="00B46AA0" w:rsidRDefault="00092B5F" w:rsidP="00DB75BC">
            <w:pPr>
              <w:rPr>
                <w:b/>
              </w:rPr>
            </w:pPr>
            <w:r>
              <w:t>TBD; possible metrics include tax capacity, l</w:t>
            </w:r>
            <w:r w:rsidRPr="00B46AA0">
              <w:t>argest revenue source by municipality</w:t>
            </w:r>
            <w:r>
              <w:t>,</w:t>
            </w:r>
            <w:r w:rsidRPr="00B46AA0">
              <w:t xml:space="preserve"> or growth in tax base</w:t>
            </w:r>
          </w:p>
        </w:tc>
      </w:tr>
      <w:tr w:rsidR="00092B5F" w14:paraId="4F485430" w14:textId="77777777" w:rsidTr="00B46AA0">
        <w:tc>
          <w:tcPr>
            <w:tcW w:w="3708" w:type="dxa"/>
            <w:shd w:val="clear" w:color="auto" w:fill="auto"/>
          </w:tcPr>
          <w:p w14:paraId="42DDDFD5" w14:textId="4859CDF6" w:rsidR="00092B5F" w:rsidRPr="00B46AA0" w:rsidRDefault="00092B5F" w:rsidP="00145998">
            <w:pPr>
              <w:rPr>
                <w:b/>
              </w:rPr>
            </w:pPr>
            <w:r w:rsidRPr="00B46AA0">
              <w:t>Community capacity</w:t>
            </w:r>
          </w:p>
        </w:tc>
        <w:tc>
          <w:tcPr>
            <w:tcW w:w="5868" w:type="dxa"/>
            <w:shd w:val="clear" w:color="auto" w:fill="auto"/>
          </w:tcPr>
          <w:p w14:paraId="54E0CDE9" w14:textId="383F3959" w:rsidR="00092B5F" w:rsidRPr="00B46AA0" w:rsidRDefault="00092B5F" w:rsidP="00145998">
            <w:pPr>
              <w:rPr>
                <w:b/>
              </w:rPr>
            </w:pPr>
            <w:r w:rsidRPr="00B46AA0">
              <w:t>TBD; goal is to provide insight on municipal barriers to implementing regional goals</w:t>
            </w:r>
          </w:p>
        </w:tc>
      </w:tr>
      <w:tr w:rsidR="003E7438" w14:paraId="5117026F" w14:textId="77777777" w:rsidTr="00983978">
        <w:tc>
          <w:tcPr>
            <w:tcW w:w="3708" w:type="dxa"/>
            <w:shd w:val="clear" w:color="auto" w:fill="F2F2F2" w:themeFill="background1" w:themeFillShade="F2"/>
          </w:tcPr>
          <w:p w14:paraId="214F04C9" w14:textId="6C87E325" w:rsidR="003E7438" w:rsidRPr="0067269F" w:rsidRDefault="003E7438" w:rsidP="00983978">
            <w:pPr>
              <w:rPr>
                <w:b/>
              </w:rPr>
            </w:pPr>
            <w:r w:rsidRPr="0067269F">
              <w:rPr>
                <w:b/>
              </w:rPr>
              <w:t>Environment</w:t>
            </w:r>
          </w:p>
        </w:tc>
        <w:tc>
          <w:tcPr>
            <w:tcW w:w="5868" w:type="dxa"/>
            <w:shd w:val="clear" w:color="auto" w:fill="F2F2F2" w:themeFill="background1" w:themeFillShade="F2"/>
          </w:tcPr>
          <w:p w14:paraId="6F775C26" w14:textId="77777777" w:rsidR="003E7438" w:rsidRPr="0067269F" w:rsidRDefault="003E7438" w:rsidP="0098397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E7438" w14:paraId="7F4B810F" w14:textId="77777777" w:rsidTr="00983978">
        <w:tc>
          <w:tcPr>
            <w:tcW w:w="3708" w:type="dxa"/>
          </w:tcPr>
          <w:p w14:paraId="7AC53410" w14:textId="77777777" w:rsidR="003E7438" w:rsidRDefault="003E7438" w:rsidP="00983978">
            <w:r>
              <w:t>High quality natural areas</w:t>
            </w:r>
          </w:p>
        </w:tc>
        <w:tc>
          <w:tcPr>
            <w:tcW w:w="5868" w:type="dxa"/>
          </w:tcPr>
          <w:p w14:paraId="7A6B3E8C" w14:textId="41CC22EA" w:rsidR="003E7438" w:rsidRDefault="00892F25" w:rsidP="00983978">
            <w:r>
              <w:t>Ongoing</w:t>
            </w:r>
            <w:r w:rsidR="002F14C4">
              <w:t>; areas with existing high quality natural resources</w:t>
            </w:r>
          </w:p>
        </w:tc>
      </w:tr>
      <w:tr w:rsidR="003E7438" w14:paraId="5DF48AAC" w14:textId="77777777" w:rsidTr="00983978">
        <w:tc>
          <w:tcPr>
            <w:tcW w:w="3708" w:type="dxa"/>
          </w:tcPr>
          <w:p w14:paraId="0EA31490" w14:textId="77777777" w:rsidR="003E7438" w:rsidRDefault="003E7438" w:rsidP="00983978">
            <w:r>
              <w:t>Green infrastructure restoration</w:t>
            </w:r>
          </w:p>
        </w:tc>
        <w:tc>
          <w:tcPr>
            <w:tcW w:w="5868" w:type="dxa"/>
          </w:tcPr>
          <w:p w14:paraId="21589262" w14:textId="4F64382F" w:rsidR="003E7438" w:rsidRDefault="002F14C4" w:rsidP="00983978">
            <w:r>
              <w:t>Areas with significant potential for ecological restoration, especially to buffer high quality natural areas</w:t>
            </w:r>
          </w:p>
        </w:tc>
      </w:tr>
      <w:tr w:rsidR="003E7438" w14:paraId="0F66BD16" w14:textId="77777777" w:rsidTr="00983978">
        <w:tc>
          <w:tcPr>
            <w:tcW w:w="3708" w:type="dxa"/>
          </w:tcPr>
          <w:p w14:paraId="0978D6DB" w14:textId="77777777" w:rsidR="003E7438" w:rsidRDefault="003E7438" w:rsidP="00983978">
            <w:r>
              <w:t>Green infrastructure retrofits</w:t>
            </w:r>
          </w:p>
        </w:tc>
        <w:tc>
          <w:tcPr>
            <w:tcW w:w="5868" w:type="dxa"/>
          </w:tcPr>
          <w:p w14:paraId="7BD75863" w14:textId="18BAEE41" w:rsidR="003E7438" w:rsidRDefault="00654855" w:rsidP="00983978">
            <w:r>
              <w:t>Urbanized areas that have significant potential for green infrastructure retrofits</w:t>
            </w:r>
          </w:p>
        </w:tc>
      </w:tr>
      <w:tr w:rsidR="003E7438" w14:paraId="6400D63F" w14:textId="77777777" w:rsidTr="00983978">
        <w:tc>
          <w:tcPr>
            <w:tcW w:w="3708" w:type="dxa"/>
          </w:tcPr>
          <w:p w14:paraId="7370B6DA" w14:textId="77777777" w:rsidR="003E7438" w:rsidRDefault="003E7438" w:rsidP="00983978">
            <w:r>
              <w:t>Climate vulnerability areas</w:t>
            </w:r>
          </w:p>
        </w:tc>
        <w:tc>
          <w:tcPr>
            <w:tcW w:w="5868" w:type="dxa"/>
          </w:tcPr>
          <w:p w14:paraId="4623BC6F" w14:textId="03C0AE22" w:rsidR="003E7438" w:rsidRDefault="00654855" w:rsidP="00654855">
            <w:r>
              <w:t>Areas that may experience difficulty in responding to increased flooding and heat; would incorporate vulnerable populations</w:t>
            </w:r>
            <w:r w:rsidR="00F91BD2">
              <w:t xml:space="preserve"> and other social factors</w:t>
            </w:r>
          </w:p>
        </w:tc>
      </w:tr>
      <w:tr w:rsidR="003E7438" w14:paraId="453ADA8A" w14:textId="77777777" w:rsidTr="00983978">
        <w:tc>
          <w:tcPr>
            <w:tcW w:w="3708" w:type="dxa"/>
          </w:tcPr>
          <w:p w14:paraId="0F282C9F" w14:textId="77777777" w:rsidR="003E7438" w:rsidRDefault="003E7438" w:rsidP="00983978">
            <w:r>
              <w:t>Access to parks and open space</w:t>
            </w:r>
          </w:p>
        </w:tc>
        <w:tc>
          <w:tcPr>
            <w:tcW w:w="5868" w:type="dxa"/>
          </w:tcPr>
          <w:p w14:paraId="13447B4C" w14:textId="59556E07" w:rsidR="003E7438" w:rsidRDefault="0060458C" w:rsidP="00983978">
            <w:r>
              <w:t>Areas with low access to parks and open space</w:t>
            </w:r>
          </w:p>
        </w:tc>
      </w:tr>
      <w:tr w:rsidR="003E7438" w14:paraId="6B97D188" w14:textId="77777777" w:rsidTr="00983978">
        <w:tc>
          <w:tcPr>
            <w:tcW w:w="3708" w:type="dxa"/>
          </w:tcPr>
          <w:p w14:paraId="7DDEC85B" w14:textId="77777777" w:rsidR="003E7438" w:rsidRDefault="003E7438" w:rsidP="00983978">
            <w:r>
              <w:t>Water source protection</w:t>
            </w:r>
          </w:p>
        </w:tc>
        <w:tc>
          <w:tcPr>
            <w:tcW w:w="5868" w:type="dxa"/>
          </w:tcPr>
          <w:p w14:paraId="66B93E4C" w14:textId="6097FD61" w:rsidR="003E7438" w:rsidRDefault="0067384B" w:rsidP="0067384B">
            <w:r>
              <w:t>Group areas by drinking water source; include Sensitive Aquifer Recharge Areas (SARAs)</w:t>
            </w:r>
          </w:p>
        </w:tc>
      </w:tr>
      <w:tr w:rsidR="003E7438" w14:paraId="68AF8AB5" w14:textId="77777777" w:rsidTr="00983978">
        <w:tc>
          <w:tcPr>
            <w:tcW w:w="3708" w:type="dxa"/>
          </w:tcPr>
          <w:p w14:paraId="3A4E4C23" w14:textId="77777777" w:rsidR="003E7438" w:rsidRDefault="003E7438" w:rsidP="00983978">
            <w:r>
              <w:t>Water quality</w:t>
            </w:r>
          </w:p>
        </w:tc>
        <w:tc>
          <w:tcPr>
            <w:tcW w:w="5868" w:type="dxa"/>
          </w:tcPr>
          <w:p w14:paraId="68CBACC2" w14:textId="2EA4E686" w:rsidR="003E7438" w:rsidRDefault="00F40D52" w:rsidP="00330F6D">
            <w:r>
              <w:t>Combined and separated sewer communities, along with combined sewer overflow events, impaired or high quality streams, watershed quality, impervious coverage</w:t>
            </w:r>
          </w:p>
        </w:tc>
      </w:tr>
      <w:tr w:rsidR="003E7438" w14:paraId="1BB05A41" w14:textId="77777777" w:rsidTr="00983978">
        <w:tc>
          <w:tcPr>
            <w:tcW w:w="3708" w:type="dxa"/>
          </w:tcPr>
          <w:p w14:paraId="316921BD" w14:textId="77777777" w:rsidR="003E7438" w:rsidRDefault="003E7438" w:rsidP="00983978">
            <w:r>
              <w:t>Priority flooding areas</w:t>
            </w:r>
          </w:p>
        </w:tc>
        <w:tc>
          <w:tcPr>
            <w:tcW w:w="5868" w:type="dxa"/>
          </w:tcPr>
          <w:p w14:paraId="29401D4A" w14:textId="79BE2AB7" w:rsidR="003E7438" w:rsidRDefault="001A7EF5" w:rsidP="00983978">
            <w:r>
              <w:t>Priority urban and riverine flooding locations to target for green infrastructure and other interventions</w:t>
            </w:r>
          </w:p>
        </w:tc>
      </w:tr>
    </w:tbl>
    <w:p w14:paraId="4B2DE273" w14:textId="3F3FA304" w:rsidR="00133074" w:rsidRPr="00250AA1" w:rsidRDefault="00133074" w:rsidP="00250AA1">
      <w:pPr>
        <w:spacing w:after="200" w:line="276" w:lineRule="auto"/>
        <w:rPr>
          <w:b/>
        </w:rPr>
      </w:pPr>
      <w:bookmarkStart w:id="0" w:name="_GoBack"/>
      <w:bookmarkEnd w:id="0"/>
    </w:p>
    <w:sectPr w:rsidR="00133074" w:rsidRPr="00250AA1" w:rsidSect="00442325">
      <w:footerReference w:type="default" r:id="rId12"/>
      <w:headerReference w:type="first" r:id="rId13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B568" w14:textId="77777777" w:rsidR="00A85538" w:rsidRDefault="00A85538" w:rsidP="005E04F4">
      <w:r>
        <w:separator/>
      </w:r>
    </w:p>
  </w:endnote>
  <w:endnote w:type="continuationSeparator" w:id="0">
    <w:p w14:paraId="0E8E0A00" w14:textId="77777777" w:rsidR="00A85538" w:rsidRDefault="00A85538" w:rsidP="005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9678" w14:textId="77777777" w:rsidR="00A85538" w:rsidRDefault="00A85538" w:rsidP="00C27F26">
    <w:pPr>
      <w:tabs>
        <w:tab w:val="center" w:pos="5040"/>
        <w:tab w:val="right" w:pos="9360"/>
      </w:tabs>
      <w:rPr>
        <w:rFonts w:ascii="Arial" w:hAnsi="Arial" w:cs="Arial"/>
        <w:b/>
      </w:rPr>
    </w:pPr>
  </w:p>
  <w:p w14:paraId="4F8B35E9" w14:textId="6B92C002" w:rsidR="00A85538" w:rsidRDefault="00A85538" w:rsidP="00710D9B">
    <w:pPr>
      <w:tabs>
        <w:tab w:val="center" w:pos="4860"/>
        <w:tab w:val="right" w:pos="9360"/>
      </w:tabs>
    </w:pPr>
    <w:r>
      <w:rPr>
        <w:rFonts w:ascii="Arial" w:hAnsi="Arial" w:cs="Arial"/>
        <w:b/>
        <w:noProof/>
      </w:rPr>
      <w:drawing>
        <wp:inline distT="0" distB="0" distL="0" distR="0" wp14:anchorId="49ACBDA1" wp14:editId="02F3A13C">
          <wp:extent cx="1816100" cy="393700"/>
          <wp:effectExtent l="0" t="0" r="0" b="6350"/>
          <wp:docPr id="42" name="Picture 42" descr="cmap_id_margin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ap_id_margin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  <w:r w:rsidRPr="00DD0489">
      <w:rPr>
        <w:rFonts w:ascii="Arial" w:hAnsi="Arial" w:cs="Arial"/>
        <w:b/>
      </w:rPr>
      <w:t xml:space="preserve">Page </w:t>
    </w:r>
    <w:r w:rsidRPr="00DD0489">
      <w:rPr>
        <w:rFonts w:ascii="Arial" w:hAnsi="Arial" w:cs="Arial"/>
        <w:b/>
      </w:rPr>
      <w:fldChar w:fldCharType="begin"/>
    </w:r>
    <w:r w:rsidRPr="00DD0489">
      <w:rPr>
        <w:rFonts w:ascii="Arial" w:hAnsi="Arial" w:cs="Arial"/>
        <w:b/>
      </w:rPr>
      <w:instrText xml:space="preserve"> PAGE  \* Arabic  \* MERGEFORMAT </w:instrText>
    </w:r>
    <w:r w:rsidRPr="00DD0489">
      <w:rPr>
        <w:rFonts w:ascii="Arial" w:hAnsi="Arial" w:cs="Arial"/>
        <w:b/>
      </w:rPr>
      <w:fldChar w:fldCharType="separate"/>
    </w:r>
    <w:r w:rsidR="00044E84">
      <w:rPr>
        <w:rFonts w:ascii="Arial" w:hAnsi="Arial" w:cs="Arial"/>
        <w:b/>
        <w:noProof/>
      </w:rPr>
      <w:t>2</w:t>
    </w:r>
    <w:r w:rsidRPr="00DD0489">
      <w:rPr>
        <w:rFonts w:ascii="Arial" w:hAnsi="Arial" w:cs="Arial"/>
        <w:b/>
      </w:rPr>
      <w:fldChar w:fldCharType="end"/>
    </w:r>
    <w:r w:rsidRPr="00DD0489">
      <w:rPr>
        <w:rFonts w:ascii="Arial" w:hAnsi="Arial" w:cs="Arial"/>
        <w:b/>
      </w:rPr>
      <w:t xml:space="preserve"> of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SECTIONPAGES   \* MERGEFORMAT </w:instrText>
    </w:r>
    <w:r>
      <w:rPr>
        <w:rFonts w:ascii="Arial" w:hAnsi="Arial" w:cs="Arial"/>
        <w:b/>
      </w:rPr>
      <w:fldChar w:fldCharType="separate"/>
    </w:r>
    <w:r w:rsidR="00044E84">
      <w:rPr>
        <w:rFonts w:ascii="Arial" w:hAnsi="Arial" w:cs="Arial"/>
        <w:b/>
        <w:noProof/>
      </w:rPr>
      <w:t>3</w:t>
    </w:r>
    <w:r>
      <w:rPr>
        <w:rFonts w:ascii="Arial" w:hAnsi="Arial" w:cs="Arial"/>
        <w:b/>
      </w:rPr>
      <w:fldChar w:fldCharType="end"/>
    </w:r>
    <w:r>
      <w:rPr>
        <w:rFonts w:ascii="Arial" w:hAnsi="Arial" w:cs="Arial"/>
        <w:b/>
      </w:rPr>
      <w:tab/>
      <w:t>Universe of Layers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18C4" w14:textId="77777777" w:rsidR="00A85538" w:rsidRDefault="00A85538" w:rsidP="005E04F4">
      <w:r>
        <w:separator/>
      </w:r>
    </w:p>
  </w:footnote>
  <w:footnote w:type="continuationSeparator" w:id="0">
    <w:p w14:paraId="19A35270" w14:textId="77777777" w:rsidR="00A85538" w:rsidRDefault="00A85538" w:rsidP="005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4091B" w14:textId="77777777" w:rsidR="00A85538" w:rsidRDefault="00A855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D22CF" wp14:editId="76AD38E3">
          <wp:simplePos x="0" y="0"/>
          <wp:positionH relativeFrom="margin">
            <wp:align>center</wp:align>
          </wp:positionH>
          <wp:positionV relativeFrom="paragraph">
            <wp:posOffset>-98984</wp:posOffset>
          </wp:positionV>
          <wp:extent cx="6003290" cy="803275"/>
          <wp:effectExtent l="0" t="0" r="0" b="0"/>
          <wp:wrapNone/>
          <wp:docPr id="1" name="Picture 1" descr="new-letterhead_masthead_DO_NOT_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-letterhead_masthead_DO_NOT_RESI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9D9"/>
    <w:multiLevelType w:val="hybridMultilevel"/>
    <w:tmpl w:val="B3A8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256"/>
    <w:multiLevelType w:val="hybridMultilevel"/>
    <w:tmpl w:val="F16EC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02EA"/>
    <w:multiLevelType w:val="hybridMultilevel"/>
    <w:tmpl w:val="D9C61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5D0E"/>
    <w:multiLevelType w:val="hybridMultilevel"/>
    <w:tmpl w:val="556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445"/>
    <w:multiLevelType w:val="hybridMultilevel"/>
    <w:tmpl w:val="D1403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8D4"/>
    <w:multiLevelType w:val="hybridMultilevel"/>
    <w:tmpl w:val="805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17A5"/>
    <w:multiLevelType w:val="hybridMultilevel"/>
    <w:tmpl w:val="931C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93D84"/>
    <w:multiLevelType w:val="hybridMultilevel"/>
    <w:tmpl w:val="1242C19E"/>
    <w:lvl w:ilvl="0" w:tplc="DE7CFEC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96294"/>
    <w:multiLevelType w:val="hybridMultilevel"/>
    <w:tmpl w:val="0346E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1"/>
    <w:rsid w:val="00011E3C"/>
    <w:rsid w:val="00011FC1"/>
    <w:rsid w:val="00013D64"/>
    <w:rsid w:val="00016844"/>
    <w:rsid w:val="00024FFC"/>
    <w:rsid w:val="00044E84"/>
    <w:rsid w:val="00053557"/>
    <w:rsid w:val="00057DED"/>
    <w:rsid w:val="000700B6"/>
    <w:rsid w:val="00072D32"/>
    <w:rsid w:val="00092B5F"/>
    <w:rsid w:val="00097EFF"/>
    <w:rsid w:val="000A1099"/>
    <w:rsid w:val="000A4CA9"/>
    <w:rsid w:val="000B4499"/>
    <w:rsid w:val="000C7C7C"/>
    <w:rsid w:val="000D1194"/>
    <w:rsid w:val="000D7B24"/>
    <w:rsid w:val="000E134F"/>
    <w:rsid w:val="000E7AEF"/>
    <w:rsid w:val="000F2E81"/>
    <w:rsid w:val="00100129"/>
    <w:rsid w:val="00100480"/>
    <w:rsid w:val="001008E2"/>
    <w:rsid w:val="0011123F"/>
    <w:rsid w:val="001114B6"/>
    <w:rsid w:val="001152FB"/>
    <w:rsid w:val="00123FE6"/>
    <w:rsid w:val="00133074"/>
    <w:rsid w:val="00140751"/>
    <w:rsid w:val="0014276A"/>
    <w:rsid w:val="00145998"/>
    <w:rsid w:val="00147A20"/>
    <w:rsid w:val="0015058B"/>
    <w:rsid w:val="00162488"/>
    <w:rsid w:val="00170409"/>
    <w:rsid w:val="00170CFD"/>
    <w:rsid w:val="00186D23"/>
    <w:rsid w:val="00196F60"/>
    <w:rsid w:val="00197AA7"/>
    <w:rsid w:val="001A25D7"/>
    <w:rsid w:val="001A714A"/>
    <w:rsid w:val="001A7EF5"/>
    <w:rsid w:val="001B7C4D"/>
    <w:rsid w:val="001C4216"/>
    <w:rsid w:val="001C4532"/>
    <w:rsid w:val="001D1440"/>
    <w:rsid w:val="001E0FF4"/>
    <w:rsid w:val="001F38C6"/>
    <w:rsid w:val="001F63D8"/>
    <w:rsid w:val="00206152"/>
    <w:rsid w:val="0020637D"/>
    <w:rsid w:val="0022215F"/>
    <w:rsid w:val="00226FD4"/>
    <w:rsid w:val="00250AA1"/>
    <w:rsid w:val="0025753F"/>
    <w:rsid w:val="00261CD2"/>
    <w:rsid w:val="002648DD"/>
    <w:rsid w:val="0027508E"/>
    <w:rsid w:val="0029043A"/>
    <w:rsid w:val="00293E8F"/>
    <w:rsid w:val="002A0C63"/>
    <w:rsid w:val="002A2EED"/>
    <w:rsid w:val="002A34B9"/>
    <w:rsid w:val="002A4B31"/>
    <w:rsid w:val="002B153D"/>
    <w:rsid w:val="002B1552"/>
    <w:rsid w:val="002B5C32"/>
    <w:rsid w:val="002C5C27"/>
    <w:rsid w:val="002D56C2"/>
    <w:rsid w:val="002E220B"/>
    <w:rsid w:val="002F14C4"/>
    <w:rsid w:val="002F1D48"/>
    <w:rsid w:val="0030233F"/>
    <w:rsid w:val="003118A4"/>
    <w:rsid w:val="00323E8B"/>
    <w:rsid w:val="00330F6D"/>
    <w:rsid w:val="0034275A"/>
    <w:rsid w:val="00342CE8"/>
    <w:rsid w:val="00343909"/>
    <w:rsid w:val="00350DE1"/>
    <w:rsid w:val="00353FC5"/>
    <w:rsid w:val="003652A0"/>
    <w:rsid w:val="0037037A"/>
    <w:rsid w:val="00370CB5"/>
    <w:rsid w:val="00371343"/>
    <w:rsid w:val="003759E1"/>
    <w:rsid w:val="003837A6"/>
    <w:rsid w:val="003A2A3F"/>
    <w:rsid w:val="003B387A"/>
    <w:rsid w:val="003C1792"/>
    <w:rsid w:val="003C7206"/>
    <w:rsid w:val="003D34D7"/>
    <w:rsid w:val="003D372E"/>
    <w:rsid w:val="003E3952"/>
    <w:rsid w:val="003E4074"/>
    <w:rsid w:val="003E6A6A"/>
    <w:rsid w:val="003E7438"/>
    <w:rsid w:val="003E752F"/>
    <w:rsid w:val="003F2D7A"/>
    <w:rsid w:val="003F3169"/>
    <w:rsid w:val="003F7CD2"/>
    <w:rsid w:val="00400C93"/>
    <w:rsid w:val="00401087"/>
    <w:rsid w:val="00403805"/>
    <w:rsid w:val="00422ED9"/>
    <w:rsid w:val="00426EFE"/>
    <w:rsid w:val="004403B5"/>
    <w:rsid w:val="00442325"/>
    <w:rsid w:val="00451FB1"/>
    <w:rsid w:val="004760DA"/>
    <w:rsid w:val="004905ED"/>
    <w:rsid w:val="00493B8D"/>
    <w:rsid w:val="00495E0C"/>
    <w:rsid w:val="004973E1"/>
    <w:rsid w:val="004A2C37"/>
    <w:rsid w:val="004C1F23"/>
    <w:rsid w:val="004C5ADD"/>
    <w:rsid w:val="004E6C22"/>
    <w:rsid w:val="004E6DB0"/>
    <w:rsid w:val="004E7EB1"/>
    <w:rsid w:val="004E7FD3"/>
    <w:rsid w:val="004F4FB4"/>
    <w:rsid w:val="00510990"/>
    <w:rsid w:val="00526D19"/>
    <w:rsid w:val="00531A94"/>
    <w:rsid w:val="00541D24"/>
    <w:rsid w:val="00556570"/>
    <w:rsid w:val="00562875"/>
    <w:rsid w:val="005652A1"/>
    <w:rsid w:val="00566208"/>
    <w:rsid w:val="00566BA3"/>
    <w:rsid w:val="0057160C"/>
    <w:rsid w:val="005859CF"/>
    <w:rsid w:val="005A4292"/>
    <w:rsid w:val="005A4B54"/>
    <w:rsid w:val="005A513A"/>
    <w:rsid w:val="005B2AC7"/>
    <w:rsid w:val="005C4CC4"/>
    <w:rsid w:val="005D115B"/>
    <w:rsid w:val="005D143C"/>
    <w:rsid w:val="005E04F4"/>
    <w:rsid w:val="005E3AEE"/>
    <w:rsid w:val="005E6F2E"/>
    <w:rsid w:val="0060458C"/>
    <w:rsid w:val="00615D83"/>
    <w:rsid w:val="00620605"/>
    <w:rsid w:val="00634E5B"/>
    <w:rsid w:val="00645B73"/>
    <w:rsid w:val="0064610A"/>
    <w:rsid w:val="00653536"/>
    <w:rsid w:val="00654855"/>
    <w:rsid w:val="006555FA"/>
    <w:rsid w:val="006558F8"/>
    <w:rsid w:val="0067384B"/>
    <w:rsid w:val="0067637B"/>
    <w:rsid w:val="0069270D"/>
    <w:rsid w:val="00692DB9"/>
    <w:rsid w:val="006A2DA0"/>
    <w:rsid w:val="006A309B"/>
    <w:rsid w:val="006A471C"/>
    <w:rsid w:val="006A6706"/>
    <w:rsid w:val="006B3964"/>
    <w:rsid w:val="006B6EC1"/>
    <w:rsid w:val="006C1D57"/>
    <w:rsid w:val="006C2EB1"/>
    <w:rsid w:val="006C4960"/>
    <w:rsid w:val="006C5038"/>
    <w:rsid w:val="006D42DD"/>
    <w:rsid w:val="006E0C03"/>
    <w:rsid w:val="006E460D"/>
    <w:rsid w:val="006F08A0"/>
    <w:rsid w:val="006F4D78"/>
    <w:rsid w:val="007109F3"/>
    <w:rsid w:val="00710D9B"/>
    <w:rsid w:val="00716537"/>
    <w:rsid w:val="007234E0"/>
    <w:rsid w:val="00724CCF"/>
    <w:rsid w:val="0073271F"/>
    <w:rsid w:val="007356E2"/>
    <w:rsid w:val="00736EF0"/>
    <w:rsid w:val="00737310"/>
    <w:rsid w:val="00740811"/>
    <w:rsid w:val="00741366"/>
    <w:rsid w:val="007505EE"/>
    <w:rsid w:val="00751F17"/>
    <w:rsid w:val="00752069"/>
    <w:rsid w:val="007604A3"/>
    <w:rsid w:val="00773C4B"/>
    <w:rsid w:val="007751E1"/>
    <w:rsid w:val="00775E76"/>
    <w:rsid w:val="00776665"/>
    <w:rsid w:val="00795349"/>
    <w:rsid w:val="007A1E8A"/>
    <w:rsid w:val="007B1C7A"/>
    <w:rsid w:val="007E1D8F"/>
    <w:rsid w:val="007E3A2A"/>
    <w:rsid w:val="007E6933"/>
    <w:rsid w:val="007F5817"/>
    <w:rsid w:val="008006D7"/>
    <w:rsid w:val="00805EB1"/>
    <w:rsid w:val="00814230"/>
    <w:rsid w:val="00816A14"/>
    <w:rsid w:val="00822B14"/>
    <w:rsid w:val="00830B25"/>
    <w:rsid w:val="00833BE8"/>
    <w:rsid w:val="00841823"/>
    <w:rsid w:val="00845110"/>
    <w:rsid w:val="0085615C"/>
    <w:rsid w:val="00871E7E"/>
    <w:rsid w:val="008721AA"/>
    <w:rsid w:val="00881CD2"/>
    <w:rsid w:val="00886E15"/>
    <w:rsid w:val="00890C69"/>
    <w:rsid w:val="00892F25"/>
    <w:rsid w:val="00895A22"/>
    <w:rsid w:val="008A2BF9"/>
    <w:rsid w:val="008A7838"/>
    <w:rsid w:val="008C0CAB"/>
    <w:rsid w:val="008E0015"/>
    <w:rsid w:val="008E3F3A"/>
    <w:rsid w:val="008E7D7D"/>
    <w:rsid w:val="008F10FF"/>
    <w:rsid w:val="008F2880"/>
    <w:rsid w:val="00902849"/>
    <w:rsid w:val="00904E8A"/>
    <w:rsid w:val="0090536D"/>
    <w:rsid w:val="00923684"/>
    <w:rsid w:val="00926D6D"/>
    <w:rsid w:val="00934BAB"/>
    <w:rsid w:val="009472D0"/>
    <w:rsid w:val="0095389C"/>
    <w:rsid w:val="0096499B"/>
    <w:rsid w:val="009700D6"/>
    <w:rsid w:val="00974899"/>
    <w:rsid w:val="009766CD"/>
    <w:rsid w:val="0098069C"/>
    <w:rsid w:val="0098308D"/>
    <w:rsid w:val="00983978"/>
    <w:rsid w:val="00984C30"/>
    <w:rsid w:val="009B2AEE"/>
    <w:rsid w:val="009B6049"/>
    <w:rsid w:val="009C0E75"/>
    <w:rsid w:val="009D213A"/>
    <w:rsid w:val="009D2244"/>
    <w:rsid w:val="009E2B4E"/>
    <w:rsid w:val="009F1778"/>
    <w:rsid w:val="009F2C87"/>
    <w:rsid w:val="009F708B"/>
    <w:rsid w:val="00A122E9"/>
    <w:rsid w:val="00A17DC4"/>
    <w:rsid w:val="00A2378A"/>
    <w:rsid w:val="00A26F79"/>
    <w:rsid w:val="00A27C86"/>
    <w:rsid w:val="00A30741"/>
    <w:rsid w:val="00A4122B"/>
    <w:rsid w:val="00A60153"/>
    <w:rsid w:val="00A63DCA"/>
    <w:rsid w:val="00A660D1"/>
    <w:rsid w:val="00A81D29"/>
    <w:rsid w:val="00A82FDF"/>
    <w:rsid w:val="00A830D0"/>
    <w:rsid w:val="00A85538"/>
    <w:rsid w:val="00A8669B"/>
    <w:rsid w:val="00AA2E39"/>
    <w:rsid w:val="00AB2795"/>
    <w:rsid w:val="00AB3BE2"/>
    <w:rsid w:val="00AD0DC9"/>
    <w:rsid w:val="00AD486B"/>
    <w:rsid w:val="00AF00E6"/>
    <w:rsid w:val="00AF1642"/>
    <w:rsid w:val="00AF2E7F"/>
    <w:rsid w:val="00B1272A"/>
    <w:rsid w:val="00B22F3E"/>
    <w:rsid w:val="00B328E1"/>
    <w:rsid w:val="00B334A9"/>
    <w:rsid w:val="00B36779"/>
    <w:rsid w:val="00B46AA0"/>
    <w:rsid w:val="00B55263"/>
    <w:rsid w:val="00B56EBC"/>
    <w:rsid w:val="00B57B7F"/>
    <w:rsid w:val="00B70040"/>
    <w:rsid w:val="00B82A1F"/>
    <w:rsid w:val="00B96A68"/>
    <w:rsid w:val="00BA047F"/>
    <w:rsid w:val="00BA08B1"/>
    <w:rsid w:val="00BA0C13"/>
    <w:rsid w:val="00BA4A7D"/>
    <w:rsid w:val="00BA52D2"/>
    <w:rsid w:val="00BA62D9"/>
    <w:rsid w:val="00BC450E"/>
    <w:rsid w:val="00BC4FB6"/>
    <w:rsid w:val="00BC7AA7"/>
    <w:rsid w:val="00BE28E7"/>
    <w:rsid w:val="00BF1DE6"/>
    <w:rsid w:val="00BF63D1"/>
    <w:rsid w:val="00BF7DB5"/>
    <w:rsid w:val="00C00991"/>
    <w:rsid w:val="00C01BC3"/>
    <w:rsid w:val="00C02439"/>
    <w:rsid w:val="00C03E15"/>
    <w:rsid w:val="00C07245"/>
    <w:rsid w:val="00C1539B"/>
    <w:rsid w:val="00C16E8F"/>
    <w:rsid w:val="00C23D7D"/>
    <w:rsid w:val="00C24F9F"/>
    <w:rsid w:val="00C27F26"/>
    <w:rsid w:val="00C33E08"/>
    <w:rsid w:val="00C37E6F"/>
    <w:rsid w:val="00C44EBE"/>
    <w:rsid w:val="00C70D40"/>
    <w:rsid w:val="00CA0B9C"/>
    <w:rsid w:val="00CB20FD"/>
    <w:rsid w:val="00CB6082"/>
    <w:rsid w:val="00CB7538"/>
    <w:rsid w:val="00CE0253"/>
    <w:rsid w:val="00CF69A2"/>
    <w:rsid w:val="00D00D84"/>
    <w:rsid w:val="00D00FE0"/>
    <w:rsid w:val="00D02EA4"/>
    <w:rsid w:val="00D04BC9"/>
    <w:rsid w:val="00D14EA1"/>
    <w:rsid w:val="00D15801"/>
    <w:rsid w:val="00D21BA2"/>
    <w:rsid w:val="00D22209"/>
    <w:rsid w:val="00D24476"/>
    <w:rsid w:val="00D30590"/>
    <w:rsid w:val="00D30618"/>
    <w:rsid w:val="00D33853"/>
    <w:rsid w:val="00D51BAE"/>
    <w:rsid w:val="00D55DA7"/>
    <w:rsid w:val="00D5634D"/>
    <w:rsid w:val="00D61641"/>
    <w:rsid w:val="00D84E9B"/>
    <w:rsid w:val="00D9009B"/>
    <w:rsid w:val="00D93062"/>
    <w:rsid w:val="00DA50EC"/>
    <w:rsid w:val="00DB4141"/>
    <w:rsid w:val="00DB75BC"/>
    <w:rsid w:val="00DC3649"/>
    <w:rsid w:val="00DC74E1"/>
    <w:rsid w:val="00DD09C0"/>
    <w:rsid w:val="00DD12B2"/>
    <w:rsid w:val="00DD4B87"/>
    <w:rsid w:val="00DE144B"/>
    <w:rsid w:val="00DF5C25"/>
    <w:rsid w:val="00E03411"/>
    <w:rsid w:val="00E231EE"/>
    <w:rsid w:val="00E32D0A"/>
    <w:rsid w:val="00E32D4F"/>
    <w:rsid w:val="00E32F4A"/>
    <w:rsid w:val="00E719F5"/>
    <w:rsid w:val="00E75B5E"/>
    <w:rsid w:val="00E82602"/>
    <w:rsid w:val="00E85AC6"/>
    <w:rsid w:val="00E94706"/>
    <w:rsid w:val="00E97EA4"/>
    <w:rsid w:val="00EA0F03"/>
    <w:rsid w:val="00EA16C5"/>
    <w:rsid w:val="00EA5651"/>
    <w:rsid w:val="00EB091B"/>
    <w:rsid w:val="00EB2278"/>
    <w:rsid w:val="00EC3170"/>
    <w:rsid w:val="00EC4C3E"/>
    <w:rsid w:val="00ED24B0"/>
    <w:rsid w:val="00EE4FE0"/>
    <w:rsid w:val="00F04183"/>
    <w:rsid w:val="00F1540E"/>
    <w:rsid w:val="00F35DA8"/>
    <w:rsid w:val="00F368DB"/>
    <w:rsid w:val="00F40357"/>
    <w:rsid w:val="00F40D52"/>
    <w:rsid w:val="00F42549"/>
    <w:rsid w:val="00F43426"/>
    <w:rsid w:val="00F511A1"/>
    <w:rsid w:val="00F66910"/>
    <w:rsid w:val="00F70536"/>
    <w:rsid w:val="00F74ABF"/>
    <w:rsid w:val="00F74DC2"/>
    <w:rsid w:val="00F82CB9"/>
    <w:rsid w:val="00F870BA"/>
    <w:rsid w:val="00F91675"/>
    <w:rsid w:val="00F918B3"/>
    <w:rsid w:val="00F91BD2"/>
    <w:rsid w:val="00F93309"/>
    <w:rsid w:val="00F969B6"/>
    <w:rsid w:val="00FC0330"/>
    <w:rsid w:val="00FC5498"/>
    <w:rsid w:val="00FC74BE"/>
    <w:rsid w:val="00FD0DBF"/>
    <w:rsid w:val="00FD3E27"/>
    <w:rsid w:val="00FD6E7F"/>
    <w:rsid w:val="00FF4A80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7E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0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F4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5E0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F4"/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semiHidden/>
    <w:unhideWhenUsed/>
    <w:rsid w:val="0073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E2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E2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5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7DED"/>
    <w:pPr>
      <w:spacing w:after="0" w:line="240" w:lineRule="auto"/>
    </w:pPr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C4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2B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B14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0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F4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5E0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F4"/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semiHidden/>
    <w:unhideWhenUsed/>
    <w:rsid w:val="0073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E2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E2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5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7DED"/>
    <w:pPr>
      <w:spacing w:after="0" w:line="240" w:lineRule="auto"/>
    </w:pPr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C4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2B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B14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ap.illinois.gov/documents/10180/198094/Chicago%20Region%20FHEA%20November%202013%20HUD%20Submission.pdf/b0c6946e-4425-49fe-8d0a-f336903bc46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map.illinois.gov/documents/10180/515150/LUC_021716_Layers+Presentation_Daly.pdf/5292cc94-8f70-4f50-ad2a-2a9bd44e4b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ap.illinois.gov/documents/10180/494900/place+based+memo+to+committees+final.pdf/c7a71ebf-52ee-430f-bb6e-e4748b36797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7559-B8BE-472D-BCEB-86861390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Ihnchak</dc:creator>
  <cp:lastModifiedBy>Kristin Ihnchak</cp:lastModifiedBy>
  <cp:revision>5</cp:revision>
  <cp:lastPrinted>2015-09-29T15:15:00Z</cp:lastPrinted>
  <dcterms:created xsi:type="dcterms:W3CDTF">2016-05-12T14:07:00Z</dcterms:created>
  <dcterms:modified xsi:type="dcterms:W3CDTF">2016-05-12T19:56:00Z</dcterms:modified>
</cp:coreProperties>
</file>